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36EB" w14:textId="24F0509E" w:rsidR="009C1068" w:rsidRPr="00FE32A7" w:rsidRDefault="00CA54D4" w:rsidP="00553DA1">
      <w:pPr>
        <w:widowControl w:val="0"/>
        <w:autoSpaceDE w:val="0"/>
        <w:autoSpaceDN w:val="0"/>
        <w:adjustRightInd w:val="0"/>
        <w:spacing w:before="100" w:beforeAutospacing="1" w:after="100" w:afterAutospacing="1"/>
        <w:ind w:left="3544"/>
        <w:jc w:val="both"/>
        <w:rPr>
          <w:rFonts w:ascii="Verdana" w:hAnsi="Verdana" w:cs="Arial"/>
          <w:b/>
          <w:bCs/>
          <w:sz w:val="22"/>
          <w:szCs w:val="22"/>
        </w:rPr>
      </w:pPr>
      <w:r w:rsidRPr="00FE32A7">
        <w:rPr>
          <w:rFonts w:ascii="Verdana" w:hAnsi="Verdana" w:cs="Arial"/>
          <w:b/>
          <w:bCs/>
          <w:sz w:val="22"/>
          <w:szCs w:val="22"/>
        </w:rPr>
        <w:t>RECURSO DE APELACIÓN</w:t>
      </w:r>
    </w:p>
    <w:p w14:paraId="607E96A2" w14:textId="4227F7BD"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hAnsi="Verdana" w:cs="Arial"/>
          <w:sz w:val="22"/>
          <w:szCs w:val="22"/>
        </w:rPr>
      </w:pPr>
      <w:r w:rsidRPr="00FE32A7">
        <w:rPr>
          <w:rFonts w:ascii="Verdana" w:hAnsi="Verdana" w:cs="Arial"/>
          <w:b/>
          <w:sz w:val="22"/>
          <w:szCs w:val="22"/>
        </w:rPr>
        <w:t xml:space="preserve">EXPEDIENTE: </w:t>
      </w:r>
      <w:r w:rsidRPr="00FE32A7">
        <w:rPr>
          <w:rFonts w:ascii="Verdana" w:eastAsia="Arial" w:hAnsi="Verdana" w:cs="Arial"/>
          <w:sz w:val="22"/>
          <w:szCs w:val="22"/>
        </w:rPr>
        <w:t>TEEA-</w:t>
      </w:r>
      <w:r w:rsidR="00CA54D4" w:rsidRPr="00FE32A7">
        <w:rPr>
          <w:rFonts w:ascii="Verdana" w:eastAsia="Arial" w:hAnsi="Verdana" w:cs="Arial"/>
          <w:sz w:val="22"/>
          <w:szCs w:val="22"/>
        </w:rPr>
        <w:t>RAP</w:t>
      </w:r>
      <w:r w:rsidRPr="00FE32A7">
        <w:rPr>
          <w:rFonts w:ascii="Verdana" w:eastAsia="Arial" w:hAnsi="Verdana" w:cs="Arial"/>
          <w:sz w:val="22"/>
          <w:szCs w:val="22"/>
        </w:rPr>
        <w:t>-00</w:t>
      </w:r>
      <w:r w:rsidR="00DE3DEF">
        <w:rPr>
          <w:rFonts w:ascii="Verdana" w:eastAsia="Arial" w:hAnsi="Verdana" w:cs="Arial"/>
          <w:sz w:val="22"/>
          <w:szCs w:val="22"/>
        </w:rPr>
        <w:t>2</w:t>
      </w:r>
      <w:r w:rsidRPr="00FE32A7">
        <w:rPr>
          <w:rFonts w:ascii="Verdana" w:eastAsia="Arial" w:hAnsi="Verdana" w:cs="Arial"/>
          <w:sz w:val="22"/>
          <w:szCs w:val="22"/>
        </w:rPr>
        <w:t>/2023</w:t>
      </w:r>
    </w:p>
    <w:p w14:paraId="1B2FA0E7" w14:textId="77F7A873" w:rsidR="00CA54D4" w:rsidRPr="00FE32A7" w:rsidRDefault="009C1068" w:rsidP="00553DA1">
      <w:pPr>
        <w:widowControl w:val="0"/>
        <w:autoSpaceDE w:val="0"/>
        <w:autoSpaceDN w:val="0"/>
        <w:adjustRightInd w:val="0"/>
        <w:spacing w:before="100" w:beforeAutospacing="1" w:after="100" w:afterAutospacing="1"/>
        <w:ind w:left="3544"/>
        <w:jc w:val="both"/>
        <w:rPr>
          <w:rFonts w:ascii="Verdana" w:eastAsia="Arial" w:hAnsi="Verdana" w:cs="Arial"/>
          <w:bCs/>
          <w:sz w:val="22"/>
          <w:szCs w:val="22"/>
          <w:lang w:val="es-MX"/>
        </w:rPr>
      </w:pPr>
      <w:r w:rsidRPr="00FE32A7">
        <w:rPr>
          <w:rFonts w:ascii="Verdana" w:hAnsi="Verdana" w:cs="Arial"/>
          <w:b/>
          <w:bCs/>
          <w:sz w:val="22"/>
          <w:szCs w:val="22"/>
          <w:lang w:val="es-ES_tradnl"/>
        </w:rPr>
        <w:t>PARTE</w:t>
      </w:r>
      <w:r w:rsidR="00F90F89">
        <w:rPr>
          <w:rFonts w:ascii="Verdana" w:hAnsi="Verdana" w:cs="Arial"/>
          <w:b/>
          <w:bCs/>
          <w:sz w:val="22"/>
          <w:szCs w:val="22"/>
          <w:lang w:val="es-ES_tradnl"/>
        </w:rPr>
        <w:t xml:space="preserve"> </w:t>
      </w:r>
      <w:r w:rsidR="0024548D" w:rsidRPr="00F90F89">
        <w:rPr>
          <w:rFonts w:ascii="Verdana" w:hAnsi="Verdana" w:cs="Arial"/>
          <w:b/>
          <w:bCs/>
          <w:sz w:val="22"/>
          <w:szCs w:val="22"/>
          <w:lang w:val="es-ES_tradnl"/>
        </w:rPr>
        <w:t>RECURRENTE</w:t>
      </w:r>
      <w:r w:rsidRPr="00F90F89">
        <w:rPr>
          <w:rFonts w:ascii="Verdana" w:hAnsi="Verdana" w:cs="Arial"/>
          <w:b/>
          <w:bCs/>
          <w:sz w:val="22"/>
          <w:szCs w:val="22"/>
          <w:lang w:val="es-ES_tradnl"/>
        </w:rPr>
        <w:t>:</w:t>
      </w:r>
      <w:r w:rsidRPr="00FE32A7">
        <w:rPr>
          <w:rFonts w:ascii="Verdana" w:hAnsi="Verdana"/>
          <w:sz w:val="22"/>
          <w:szCs w:val="22"/>
        </w:rPr>
        <w:t xml:space="preserve"> </w:t>
      </w:r>
      <w:r w:rsidR="00CA54D4" w:rsidRPr="00FE32A7">
        <w:rPr>
          <w:rFonts w:ascii="Verdana" w:eastAsia="Arial" w:hAnsi="Verdana" w:cs="Arial"/>
          <w:bCs/>
          <w:sz w:val="22"/>
          <w:szCs w:val="22"/>
          <w:lang w:val="es-MX"/>
        </w:rPr>
        <w:t>Partido</w:t>
      </w:r>
      <w:r w:rsidR="00DE3DEF">
        <w:rPr>
          <w:rFonts w:ascii="Verdana" w:eastAsia="Arial" w:hAnsi="Verdana" w:cs="Arial"/>
          <w:bCs/>
          <w:sz w:val="22"/>
          <w:szCs w:val="22"/>
          <w:lang w:val="es-MX"/>
        </w:rPr>
        <w:t xml:space="preserve"> Político Movimiento Ciudadano, </w:t>
      </w:r>
      <w:r w:rsidR="00CA54D4" w:rsidRPr="00FE32A7">
        <w:rPr>
          <w:rFonts w:ascii="Verdana" w:eastAsia="Arial" w:hAnsi="Verdana" w:cs="Arial"/>
          <w:bCs/>
          <w:sz w:val="22"/>
          <w:szCs w:val="22"/>
          <w:lang w:val="es-MX"/>
        </w:rPr>
        <w:t>por conducto de su representante propietari</w:t>
      </w:r>
      <w:r w:rsidR="00DE3DEF">
        <w:rPr>
          <w:rFonts w:ascii="Verdana" w:eastAsia="Arial" w:hAnsi="Verdana" w:cs="Arial"/>
          <w:bCs/>
          <w:sz w:val="22"/>
          <w:szCs w:val="22"/>
          <w:lang w:val="es-MX"/>
        </w:rPr>
        <w:t>a</w:t>
      </w:r>
      <w:r w:rsidR="00CA54D4" w:rsidRPr="00FE32A7">
        <w:rPr>
          <w:rFonts w:ascii="Verdana" w:eastAsia="Arial" w:hAnsi="Verdana" w:cs="Arial"/>
          <w:bCs/>
          <w:sz w:val="22"/>
          <w:szCs w:val="22"/>
          <w:lang w:val="es-MX"/>
        </w:rPr>
        <w:t xml:space="preserve"> ante el Consejo General del Instituto Estatal Electoral</w:t>
      </w:r>
      <w:r w:rsidR="00834D92">
        <w:rPr>
          <w:rFonts w:ascii="Verdana" w:eastAsia="Arial" w:hAnsi="Verdana" w:cs="Arial"/>
          <w:bCs/>
          <w:sz w:val="22"/>
          <w:szCs w:val="22"/>
          <w:lang w:val="es-MX"/>
        </w:rPr>
        <w:t xml:space="preserve"> de Aguascalientes</w:t>
      </w:r>
      <w:r w:rsidR="00CA54D4" w:rsidRPr="00FE32A7">
        <w:rPr>
          <w:rFonts w:ascii="Verdana" w:eastAsia="Arial" w:hAnsi="Verdana" w:cs="Arial"/>
          <w:bCs/>
          <w:sz w:val="22"/>
          <w:szCs w:val="22"/>
          <w:lang w:val="es-MX"/>
        </w:rPr>
        <w:t>,</w:t>
      </w:r>
      <w:r w:rsidR="00FF2984">
        <w:rPr>
          <w:rFonts w:ascii="Verdana" w:eastAsia="Arial" w:hAnsi="Verdana" w:cs="Arial"/>
          <w:bCs/>
          <w:sz w:val="22"/>
          <w:szCs w:val="22"/>
          <w:lang w:val="es-MX"/>
        </w:rPr>
        <w:t xml:space="preserve"> </w:t>
      </w:r>
      <w:r w:rsidR="00DE3DEF">
        <w:rPr>
          <w:rFonts w:ascii="Verdana" w:eastAsia="Arial" w:hAnsi="Verdana" w:cs="Arial"/>
          <w:bCs/>
          <w:sz w:val="22"/>
          <w:szCs w:val="22"/>
          <w:lang w:val="es-MX"/>
        </w:rPr>
        <w:t xml:space="preserve">Luz María Padilla </w:t>
      </w:r>
      <w:r w:rsidR="0088616E">
        <w:rPr>
          <w:rFonts w:ascii="Verdana" w:eastAsia="Arial" w:hAnsi="Verdana" w:cs="Arial"/>
          <w:bCs/>
          <w:sz w:val="22"/>
          <w:szCs w:val="22"/>
          <w:lang w:val="es-MX"/>
        </w:rPr>
        <w:t>D</w:t>
      </w:r>
      <w:r w:rsidR="00DE3DEF">
        <w:rPr>
          <w:rFonts w:ascii="Verdana" w:eastAsia="Arial" w:hAnsi="Verdana" w:cs="Arial"/>
          <w:bCs/>
          <w:sz w:val="22"/>
          <w:szCs w:val="22"/>
          <w:lang w:val="es-MX"/>
        </w:rPr>
        <w:t>e Luna</w:t>
      </w:r>
      <w:r w:rsidR="00CA54D4" w:rsidRPr="00FE32A7">
        <w:rPr>
          <w:rFonts w:ascii="Verdana" w:eastAsia="Arial" w:hAnsi="Verdana" w:cs="Arial"/>
          <w:bCs/>
          <w:sz w:val="22"/>
          <w:szCs w:val="22"/>
          <w:lang w:val="es-MX"/>
        </w:rPr>
        <w:t>.</w:t>
      </w:r>
    </w:p>
    <w:p w14:paraId="1DB95023" w14:textId="13716B7E"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eastAsia="Arial" w:hAnsi="Verdana" w:cs="Arial"/>
          <w:sz w:val="22"/>
          <w:szCs w:val="22"/>
        </w:rPr>
      </w:pPr>
      <w:r w:rsidRPr="00FE32A7">
        <w:rPr>
          <w:rFonts w:ascii="Verdana" w:hAnsi="Verdana" w:cs="Arial"/>
          <w:b/>
          <w:bCs/>
          <w:sz w:val="22"/>
          <w:szCs w:val="22"/>
          <w:lang w:val="es-ES_tradnl"/>
        </w:rPr>
        <w:t>AUTORIDAD RESPONSABLE:</w:t>
      </w:r>
      <w:r w:rsidRPr="00FE32A7">
        <w:rPr>
          <w:rFonts w:ascii="Verdana" w:hAnsi="Verdana" w:cs="Arial"/>
          <w:sz w:val="22"/>
          <w:szCs w:val="22"/>
          <w:lang w:val="es-ES_tradnl"/>
        </w:rPr>
        <w:t xml:space="preserve"> </w:t>
      </w:r>
      <w:r w:rsidR="00446AC7" w:rsidRPr="00FE32A7">
        <w:rPr>
          <w:rFonts w:ascii="Verdana" w:eastAsia="Arial" w:hAnsi="Verdana" w:cs="Arial"/>
          <w:bCs/>
          <w:sz w:val="22"/>
          <w:szCs w:val="22"/>
        </w:rPr>
        <w:t>Consejo General del Instituto Estatal Electoral de Aguascalientes</w:t>
      </w:r>
      <w:r w:rsidRPr="00FE32A7">
        <w:rPr>
          <w:rFonts w:ascii="Verdana" w:eastAsia="Arial" w:hAnsi="Verdana" w:cs="Arial"/>
          <w:sz w:val="22"/>
          <w:szCs w:val="22"/>
        </w:rPr>
        <w:t>.</w:t>
      </w:r>
    </w:p>
    <w:p w14:paraId="69441538" w14:textId="6C2873E1"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hAnsi="Verdana" w:cs="Tahoma"/>
          <w:sz w:val="22"/>
          <w:szCs w:val="22"/>
          <w:lang w:val="es-MX"/>
        </w:rPr>
      </w:pPr>
      <w:r w:rsidRPr="00FE32A7">
        <w:rPr>
          <w:rFonts w:ascii="Verdana" w:hAnsi="Verdana" w:cs="Tahoma"/>
          <w:b/>
          <w:bCs/>
          <w:sz w:val="22"/>
          <w:szCs w:val="22"/>
          <w:lang w:val="es-ES_tradnl"/>
        </w:rPr>
        <w:t>MAGISTRATURA PONENTE</w:t>
      </w:r>
      <w:r w:rsidRPr="00FE32A7">
        <w:rPr>
          <w:rFonts w:ascii="Verdana" w:hAnsi="Verdana" w:cs="Tahoma"/>
          <w:bCs/>
          <w:sz w:val="22"/>
          <w:szCs w:val="22"/>
          <w:lang w:val="es-ES_tradnl"/>
        </w:rPr>
        <w:t>:</w:t>
      </w:r>
      <w:r w:rsidRPr="00FE32A7">
        <w:rPr>
          <w:rFonts w:ascii="Verdana" w:hAnsi="Verdana" w:cs="Tahoma"/>
          <w:b/>
          <w:bCs/>
          <w:sz w:val="22"/>
          <w:szCs w:val="22"/>
          <w:lang w:val="es-ES_tradnl"/>
        </w:rPr>
        <w:t xml:space="preserve"> </w:t>
      </w:r>
      <w:r w:rsidR="0088616E">
        <w:rPr>
          <w:rFonts w:ascii="Verdana" w:hAnsi="Verdana" w:cs="Tahoma"/>
          <w:sz w:val="22"/>
          <w:szCs w:val="22"/>
          <w:lang w:val="es-MX"/>
        </w:rPr>
        <w:t xml:space="preserve">Jesús </w:t>
      </w:r>
      <w:proofErr w:type="spellStart"/>
      <w:r w:rsidR="0088616E">
        <w:rPr>
          <w:rFonts w:ascii="Verdana" w:hAnsi="Verdana" w:cs="Tahoma"/>
          <w:sz w:val="22"/>
          <w:szCs w:val="22"/>
          <w:lang w:val="es-MX"/>
        </w:rPr>
        <w:t>Ociel</w:t>
      </w:r>
      <w:proofErr w:type="spellEnd"/>
      <w:r w:rsidR="0088616E">
        <w:rPr>
          <w:rFonts w:ascii="Verdana" w:hAnsi="Verdana" w:cs="Tahoma"/>
          <w:sz w:val="22"/>
          <w:szCs w:val="22"/>
          <w:lang w:val="es-MX"/>
        </w:rPr>
        <w:t xml:space="preserve"> Baena Saucedo</w:t>
      </w:r>
      <w:r w:rsidR="00446AC7" w:rsidRPr="00FE32A7">
        <w:rPr>
          <w:rFonts w:ascii="Verdana" w:hAnsi="Verdana" w:cs="Tahoma"/>
          <w:sz w:val="22"/>
          <w:szCs w:val="22"/>
          <w:lang w:val="es-MX"/>
        </w:rPr>
        <w:t>.</w:t>
      </w:r>
    </w:p>
    <w:p w14:paraId="33448293" w14:textId="1C99ED0A" w:rsidR="009C1068" w:rsidRDefault="009C1068" w:rsidP="00553DA1">
      <w:pPr>
        <w:widowControl w:val="0"/>
        <w:autoSpaceDE w:val="0"/>
        <w:autoSpaceDN w:val="0"/>
        <w:adjustRightInd w:val="0"/>
        <w:spacing w:before="100" w:beforeAutospacing="1" w:after="100" w:afterAutospacing="1"/>
        <w:ind w:left="3544"/>
        <w:jc w:val="both"/>
        <w:rPr>
          <w:rFonts w:ascii="Verdana" w:hAnsi="Verdana" w:cs="Tahoma"/>
          <w:sz w:val="22"/>
          <w:szCs w:val="22"/>
        </w:rPr>
      </w:pPr>
      <w:r w:rsidRPr="00FE32A7">
        <w:rPr>
          <w:rFonts w:ascii="Verdana" w:hAnsi="Verdana" w:cs="Tahoma"/>
          <w:b/>
          <w:bCs/>
          <w:caps/>
          <w:sz w:val="22"/>
          <w:szCs w:val="22"/>
        </w:rPr>
        <w:t>Secretar</w:t>
      </w:r>
      <w:r w:rsidR="00B11444">
        <w:rPr>
          <w:rFonts w:ascii="Verdana" w:hAnsi="Verdana" w:cs="Tahoma"/>
          <w:b/>
          <w:bCs/>
          <w:caps/>
          <w:sz w:val="22"/>
          <w:szCs w:val="22"/>
        </w:rPr>
        <w:t>IADO DE ESTUDIO</w:t>
      </w:r>
      <w:r w:rsidRPr="00FE32A7">
        <w:rPr>
          <w:rFonts w:ascii="Verdana" w:hAnsi="Verdana" w:cs="Tahoma"/>
          <w:b/>
          <w:bCs/>
          <w:caps/>
          <w:sz w:val="22"/>
          <w:szCs w:val="22"/>
        </w:rPr>
        <w:t xml:space="preserve">: </w:t>
      </w:r>
      <w:r w:rsidR="0088616E">
        <w:rPr>
          <w:rFonts w:ascii="Verdana" w:hAnsi="Verdana" w:cs="Tahoma"/>
          <w:sz w:val="22"/>
          <w:szCs w:val="22"/>
        </w:rPr>
        <w:t>Daniela Vega Rangel</w:t>
      </w:r>
      <w:r w:rsidRPr="00FE32A7">
        <w:rPr>
          <w:rFonts w:ascii="Verdana" w:hAnsi="Verdana" w:cs="Tahoma"/>
          <w:sz w:val="22"/>
          <w:szCs w:val="22"/>
        </w:rPr>
        <w:t xml:space="preserve">. </w:t>
      </w:r>
    </w:p>
    <w:p w14:paraId="66522222" w14:textId="77777777" w:rsidR="009C1068" w:rsidRPr="00FE32A7" w:rsidRDefault="009C1068" w:rsidP="009C1068">
      <w:pPr>
        <w:spacing w:before="100" w:beforeAutospacing="1" w:after="100" w:afterAutospacing="1" w:line="360" w:lineRule="auto"/>
        <w:jc w:val="both"/>
        <w:rPr>
          <w:rFonts w:ascii="Verdana" w:hAnsi="Verdana"/>
          <w:b/>
          <w:sz w:val="22"/>
          <w:szCs w:val="22"/>
        </w:rPr>
      </w:pPr>
    </w:p>
    <w:p w14:paraId="77F45F4B" w14:textId="4434D51D" w:rsidR="009C1068" w:rsidRPr="00FE32A7" w:rsidRDefault="009C1068" w:rsidP="009C1068">
      <w:pPr>
        <w:spacing w:before="100" w:beforeAutospacing="1" w:after="100" w:afterAutospacing="1" w:line="360" w:lineRule="auto"/>
        <w:jc w:val="both"/>
        <w:rPr>
          <w:rFonts w:ascii="Verdana" w:hAnsi="Verdana"/>
          <w:b/>
          <w:sz w:val="22"/>
          <w:szCs w:val="22"/>
        </w:rPr>
      </w:pPr>
      <w:r w:rsidRPr="00FE32A7">
        <w:rPr>
          <w:rFonts w:ascii="Verdana" w:hAnsi="Verdana"/>
          <w:b/>
          <w:sz w:val="22"/>
          <w:szCs w:val="22"/>
        </w:rPr>
        <w:t xml:space="preserve">Aguascalientes, Aguascalientes, a </w:t>
      </w:r>
      <w:r w:rsidR="00706346">
        <w:rPr>
          <w:rFonts w:ascii="Verdana" w:hAnsi="Verdana"/>
          <w:b/>
          <w:sz w:val="22"/>
          <w:szCs w:val="22"/>
        </w:rPr>
        <w:t>veintitrés</w:t>
      </w:r>
      <w:r w:rsidRPr="00FE32A7">
        <w:rPr>
          <w:rFonts w:ascii="Verdana" w:hAnsi="Verdana"/>
          <w:b/>
          <w:sz w:val="22"/>
          <w:szCs w:val="22"/>
        </w:rPr>
        <w:t xml:space="preserve"> de </w:t>
      </w:r>
      <w:r w:rsidR="00586B50">
        <w:rPr>
          <w:rFonts w:ascii="Verdana" w:hAnsi="Verdana"/>
          <w:b/>
          <w:sz w:val="22"/>
          <w:szCs w:val="22"/>
        </w:rPr>
        <w:t>febrero</w:t>
      </w:r>
      <w:r w:rsidRPr="00FE32A7">
        <w:rPr>
          <w:rFonts w:ascii="Verdana" w:hAnsi="Verdana"/>
          <w:b/>
          <w:sz w:val="22"/>
          <w:szCs w:val="22"/>
        </w:rPr>
        <w:t xml:space="preserve"> de dos mil veintitrés.</w:t>
      </w:r>
    </w:p>
    <w:p w14:paraId="74F8C47E" w14:textId="1132674C" w:rsidR="009C1068" w:rsidRPr="00FE32A7" w:rsidRDefault="007466BA" w:rsidP="009C1068">
      <w:pPr>
        <w:spacing w:before="100" w:beforeAutospacing="1" w:after="100" w:afterAutospacing="1" w:line="360" w:lineRule="auto"/>
        <w:jc w:val="both"/>
        <w:rPr>
          <w:rFonts w:ascii="Verdana" w:hAnsi="Verdana"/>
          <w:bCs/>
          <w:sz w:val="22"/>
          <w:szCs w:val="22"/>
        </w:rPr>
      </w:pPr>
      <w:r>
        <w:rPr>
          <w:rFonts w:ascii="Verdana" w:hAnsi="Verdana"/>
          <w:b/>
          <w:sz w:val="22"/>
          <w:szCs w:val="22"/>
        </w:rPr>
        <w:t>Sentencia</w:t>
      </w:r>
      <w:r w:rsidR="009C1068" w:rsidRPr="00FE32A7">
        <w:rPr>
          <w:rFonts w:ascii="Verdana" w:hAnsi="Verdana"/>
          <w:bCs/>
          <w:sz w:val="22"/>
          <w:szCs w:val="22"/>
        </w:rPr>
        <w:t xml:space="preserve"> que </w:t>
      </w:r>
      <w:r w:rsidR="00333D16">
        <w:rPr>
          <w:rFonts w:ascii="Verdana" w:hAnsi="Verdana"/>
          <w:b/>
          <w:sz w:val="22"/>
          <w:szCs w:val="22"/>
        </w:rPr>
        <w:t>SOBRESEE</w:t>
      </w:r>
      <w:r w:rsidR="009C1068" w:rsidRPr="00FE32A7">
        <w:rPr>
          <w:rFonts w:ascii="Verdana" w:hAnsi="Verdana"/>
          <w:bCs/>
          <w:sz w:val="22"/>
          <w:szCs w:val="22"/>
        </w:rPr>
        <w:t xml:space="preserve"> </w:t>
      </w:r>
      <w:r w:rsidR="00D91F17">
        <w:rPr>
          <w:rFonts w:ascii="Verdana" w:hAnsi="Verdana"/>
          <w:bCs/>
          <w:sz w:val="22"/>
          <w:szCs w:val="22"/>
        </w:rPr>
        <w:t>el presente recurso por haber</w:t>
      </w:r>
      <w:r w:rsidR="008935EB">
        <w:rPr>
          <w:rFonts w:ascii="Verdana" w:hAnsi="Verdana"/>
          <w:bCs/>
          <w:sz w:val="22"/>
          <w:szCs w:val="22"/>
        </w:rPr>
        <w:t xml:space="preserve">se actualizado un cambio de situación jurídica, al </w:t>
      </w:r>
      <w:r w:rsidR="004E7AF6">
        <w:rPr>
          <w:rFonts w:ascii="Verdana" w:hAnsi="Verdana"/>
          <w:bCs/>
          <w:sz w:val="22"/>
          <w:szCs w:val="22"/>
        </w:rPr>
        <w:t>quedar</w:t>
      </w:r>
      <w:r w:rsidR="00D91F17">
        <w:rPr>
          <w:rFonts w:ascii="Verdana" w:hAnsi="Verdana"/>
          <w:bCs/>
          <w:sz w:val="22"/>
          <w:szCs w:val="22"/>
        </w:rPr>
        <w:t xml:space="preserve"> sin materia, debido a que en fecha veinte de febrero, </w:t>
      </w:r>
      <w:r w:rsidR="000D79E8" w:rsidRPr="00FE32A7">
        <w:rPr>
          <w:rFonts w:ascii="Verdana" w:hAnsi="Verdana"/>
          <w:bCs/>
          <w:sz w:val="22"/>
          <w:szCs w:val="22"/>
        </w:rPr>
        <w:t>el Consejo General del Instituto Estatal Electoral de Aguascalientes (</w:t>
      </w:r>
      <w:r w:rsidR="000D79E8" w:rsidRPr="00FE32A7">
        <w:rPr>
          <w:rFonts w:ascii="Verdana" w:hAnsi="Verdana"/>
          <w:bCs/>
          <w:smallCaps/>
          <w:sz w:val="22"/>
          <w:szCs w:val="22"/>
        </w:rPr>
        <w:t>Autoridad Responsable</w:t>
      </w:r>
      <w:r w:rsidR="000D79E8" w:rsidRPr="00FE32A7">
        <w:rPr>
          <w:rFonts w:ascii="Verdana" w:hAnsi="Verdana"/>
          <w:bCs/>
          <w:sz w:val="22"/>
          <w:szCs w:val="22"/>
        </w:rPr>
        <w:t xml:space="preserve">), </w:t>
      </w:r>
      <w:r w:rsidR="00D91F17">
        <w:rPr>
          <w:rFonts w:ascii="Verdana" w:hAnsi="Verdana"/>
          <w:bCs/>
          <w:sz w:val="22"/>
          <w:szCs w:val="22"/>
        </w:rPr>
        <w:t xml:space="preserve">en cumplimiento a la </w:t>
      </w:r>
      <w:r>
        <w:rPr>
          <w:rFonts w:ascii="Verdana" w:hAnsi="Verdana"/>
          <w:bCs/>
          <w:sz w:val="22"/>
          <w:szCs w:val="22"/>
        </w:rPr>
        <w:t>Sentencia</w:t>
      </w:r>
      <w:r w:rsidR="00D91F17">
        <w:rPr>
          <w:rFonts w:ascii="Verdana" w:hAnsi="Verdana"/>
          <w:bCs/>
          <w:sz w:val="22"/>
          <w:szCs w:val="22"/>
        </w:rPr>
        <w:t xml:space="preserve"> emitida por este</w:t>
      </w:r>
      <w:r w:rsidR="00706346">
        <w:rPr>
          <w:rFonts w:ascii="Verdana" w:hAnsi="Verdana"/>
          <w:bCs/>
          <w:sz w:val="22"/>
          <w:szCs w:val="22"/>
        </w:rPr>
        <w:t xml:space="preserve"> Tribunal Electoral del Estado de Aguascalientes</w:t>
      </w:r>
      <w:r w:rsidR="00D91F17">
        <w:rPr>
          <w:rFonts w:ascii="Verdana" w:hAnsi="Verdana"/>
          <w:bCs/>
          <w:sz w:val="22"/>
          <w:szCs w:val="22"/>
        </w:rPr>
        <w:t xml:space="preserve"> </w:t>
      </w:r>
      <w:r w:rsidR="00706346">
        <w:rPr>
          <w:rFonts w:ascii="Verdana" w:hAnsi="Verdana"/>
          <w:bCs/>
          <w:sz w:val="22"/>
          <w:szCs w:val="22"/>
        </w:rPr>
        <w:t>(</w:t>
      </w:r>
      <w:r w:rsidR="00D91F17" w:rsidRPr="00D91F17">
        <w:rPr>
          <w:rFonts w:ascii="Verdana" w:hAnsi="Verdana"/>
          <w:bCs/>
          <w:smallCaps/>
          <w:sz w:val="22"/>
          <w:szCs w:val="22"/>
        </w:rPr>
        <w:t>Tribunal</w:t>
      </w:r>
      <w:r w:rsidR="00706346">
        <w:rPr>
          <w:rFonts w:ascii="Verdana" w:hAnsi="Verdana"/>
          <w:bCs/>
          <w:smallCaps/>
          <w:sz w:val="22"/>
          <w:szCs w:val="22"/>
        </w:rPr>
        <w:t>)</w:t>
      </w:r>
      <w:r w:rsidR="00D91F17">
        <w:rPr>
          <w:rFonts w:ascii="Verdana" w:hAnsi="Verdana"/>
          <w:bCs/>
          <w:sz w:val="22"/>
          <w:szCs w:val="22"/>
        </w:rPr>
        <w:t xml:space="preserve">, dentro del expediente TEEA-RAP-001/2023, emitió el Acuerdo </w:t>
      </w:r>
      <w:r w:rsidR="00265EBC">
        <w:rPr>
          <w:rFonts w:ascii="Verdana" w:hAnsi="Verdana" w:cs="Arial"/>
          <w:bCs/>
          <w:sz w:val="22"/>
          <w:szCs w:val="22"/>
        </w:rPr>
        <w:t xml:space="preserve">CG-A-06/23, </w:t>
      </w:r>
      <w:r w:rsidR="00D91F17">
        <w:rPr>
          <w:rFonts w:ascii="Verdana" w:hAnsi="Verdana"/>
          <w:bCs/>
          <w:sz w:val="22"/>
          <w:szCs w:val="22"/>
        </w:rPr>
        <w:t xml:space="preserve">mediante el cual aprueba la </w:t>
      </w:r>
      <w:r w:rsidR="000D79E8" w:rsidRPr="00FE32A7">
        <w:rPr>
          <w:rFonts w:ascii="Verdana" w:hAnsi="Verdana"/>
          <w:bCs/>
          <w:sz w:val="22"/>
          <w:szCs w:val="22"/>
        </w:rPr>
        <w:t>distribución del financiamiento público estatal a los partidos políticos, para su gasto ordinario y actividades específicas correspondiente al ejercicio fiscal del año dos mil veintitrés; y se establec</w:t>
      </w:r>
      <w:r w:rsidR="00D91F17">
        <w:rPr>
          <w:rFonts w:ascii="Verdana" w:hAnsi="Verdana"/>
          <w:bCs/>
          <w:sz w:val="22"/>
          <w:szCs w:val="22"/>
        </w:rPr>
        <w:t>en</w:t>
      </w:r>
      <w:r w:rsidR="000D79E8" w:rsidRPr="00FE32A7">
        <w:rPr>
          <w:rFonts w:ascii="Verdana" w:hAnsi="Verdana"/>
          <w:bCs/>
          <w:sz w:val="22"/>
          <w:szCs w:val="22"/>
        </w:rPr>
        <w:t xml:space="preserve"> los montos de los límites a las aportaciones de financiamiento privado de los partidos políticos</w:t>
      </w:r>
      <w:r w:rsidR="00383C9B" w:rsidRPr="00F90F89">
        <w:rPr>
          <w:rFonts w:ascii="Verdana" w:hAnsi="Verdana"/>
          <w:bCs/>
          <w:sz w:val="22"/>
          <w:szCs w:val="22"/>
        </w:rPr>
        <w:t>.</w:t>
      </w:r>
      <w:r w:rsidR="00383C9B" w:rsidRPr="00FE32A7">
        <w:rPr>
          <w:rFonts w:ascii="Verdana" w:hAnsi="Verdana"/>
          <w:bCs/>
          <w:sz w:val="22"/>
          <w:szCs w:val="22"/>
        </w:rPr>
        <w:t xml:space="preserve"> </w:t>
      </w:r>
    </w:p>
    <w:p w14:paraId="6AE2C435" w14:textId="58E5520B" w:rsidR="009C1068" w:rsidRPr="00FE32A7" w:rsidRDefault="009C1068" w:rsidP="009C1068">
      <w:pPr>
        <w:spacing w:before="100" w:beforeAutospacing="1" w:after="100" w:afterAutospacing="1" w:line="360" w:lineRule="auto"/>
        <w:jc w:val="both"/>
        <w:rPr>
          <w:rFonts w:ascii="Verdana" w:hAnsi="Verdana"/>
          <w:sz w:val="22"/>
          <w:szCs w:val="22"/>
        </w:rPr>
      </w:pPr>
      <w:r w:rsidRPr="00FE32A7">
        <w:rPr>
          <w:rFonts w:ascii="Verdana" w:hAnsi="Verdana"/>
          <w:sz w:val="22"/>
          <w:szCs w:val="22"/>
        </w:rPr>
        <w:t>Las fechas enunciadas deben entenderse referidas al año dos mil veintitrés, salvo señalamiento expreso en contrario.</w:t>
      </w:r>
    </w:p>
    <w:p w14:paraId="188E0A8F" w14:textId="4EF4971B" w:rsidR="009C1068" w:rsidRDefault="001C6AFE" w:rsidP="00B675BC">
      <w:pPr>
        <w:spacing w:before="100" w:beforeAutospacing="1" w:after="100" w:afterAutospacing="1" w:line="360" w:lineRule="auto"/>
        <w:jc w:val="center"/>
        <w:rPr>
          <w:rFonts w:ascii="Verdana" w:hAnsi="Verdana" w:cs="Arial"/>
          <w:b/>
          <w:bCs/>
          <w:sz w:val="22"/>
          <w:szCs w:val="22"/>
        </w:rPr>
      </w:pPr>
      <w:r w:rsidRPr="001C6AFE">
        <w:rPr>
          <w:rFonts w:ascii="Verdana" w:hAnsi="Verdana" w:cs="Arial"/>
          <w:b/>
          <w:bCs/>
          <w:sz w:val="22"/>
          <w:szCs w:val="22"/>
        </w:rPr>
        <w:t>I.</w:t>
      </w:r>
      <w:r>
        <w:rPr>
          <w:rFonts w:ascii="Verdana" w:hAnsi="Verdana" w:cs="Arial"/>
          <w:b/>
          <w:bCs/>
          <w:sz w:val="22"/>
          <w:szCs w:val="22"/>
        </w:rPr>
        <w:t xml:space="preserve"> </w:t>
      </w:r>
      <w:r w:rsidR="009C1068" w:rsidRPr="001C6AFE">
        <w:rPr>
          <w:rFonts w:ascii="Verdana" w:hAnsi="Verdana" w:cs="Arial"/>
          <w:b/>
          <w:bCs/>
          <w:sz w:val="22"/>
          <w:szCs w:val="22"/>
        </w:rPr>
        <w:t>ANTECEDENTES</w:t>
      </w:r>
    </w:p>
    <w:p w14:paraId="442A070D" w14:textId="482B8E25" w:rsidR="00B675BC" w:rsidRDefault="00B675BC" w:rsidP="00C318C2">
      <w:pPr>
        <w:pBdr>
          <w:top w:val="nil"/>
          <w:left w:val="nil"/>
          <w:bottom w:val="nil"/>
          <w:right w:val="nil"/>
          <w:between w:val="nil"/>
        </w:pBdr>
        <w:spacing w:before="100" w:beforeAutospacing="1" w:after="100" w:afterAutospacing="1" w:line="360" w:lineRule="auto"/>
        <w:jc w:val="both"/>
        <w:rPr>
          <w:rFonts w:ascii="Verdana" w:hAnsi="Verdana" w:cs="Arial"/>
          <w:sz w:val="22"/>
          <w:szCs w:val="22"/>
        </w:rPr>
      </w:pPr>
      <w:r w:rsidRPr="00B675BC">
        <w:rPr>
          <w:rFonts w:ascii="Verdana" w:hAnsi="Verdana" w:cs="Arial"/>
          <w:sz w:val="22"/>
          <w:szCs w:val="22"/>
        </w:rPr>
        <w:t xml:space="preserve">De </w:t>
      </w:r>
      <w:r>
        <w:rPr>
          <w:rFonts w:ascii="Verdana" w:hAnsi="Verdana" w:cs="Arial"/>
          <w:sz w:val="22"/>
          <w:szCs w:val="22"/>
        </w:rPr>
        <w:t xml:space="preserve">los hechos narrados en el escrito de demanda, así como de </w:t>
      </w:r>
      <w:r w:rsidRPr="00B675BC">
        <w:rPr>
          <w:rFonts w:ascii="Verdana" w:hAnsi="Verdana" w:cs="Arial"/>
          <w:sz w:val="22"/>
          <w:szCs w:val="22"/>
        </w:rPr>
        <w:t xml:space="preserve">las constancias </w:t>
      </w:r>
      <w:r>
        <w:rPr>
          <w:rFonts w:ascii="Verdana" w:hAnsi="Verdana" w:cs="Arial"/>
          <w:sz w:val="22"/>
          <w:szCs w:val="22"/>
        </w:rPr>
        <w:t xml:space="preserve">que obran en el expediente, </w:t>
      </w:r>
      <w:r w:rsidRPr="00B675BC">
        <w:rPr>
          <w:rFonts w:ascii="Verdana" w:hAnsi="Verdana" w:cs="Arial"/>
          <w:sz w:val="22"/>
          <w:szCs w:val="22"/>
        </w:rPr>
        <w:t>se advierte los siguiente</w:t>
      </w:r>
      <w:r>
        <w:rPr>
          <w:rFonts w:ascii="Verdana" w:hAnsi="Verdana" w:cs="Arial"/>
          <w:sz w:val="22"/>
          <w:szCs w:val="22"/>
        </w:rPr>
        <w:t>:</w:t>
      </w:r>
    </w:p>
    <w:p w14:paraId="1AEDF6E7" w14:textId="48AD873D" w:rsidR="002D2280" w:rsidRPr="00C318C2" w:rsidRDefault="001C6AFE" w:rsidP="00C318C2">
      <w:pPr>
        <w:pBdr>
          <w:top w:val="nil"/>
          <w:left w:val="nil"/>
          <w:bottom w:val="nil"/>
          <w:right w:val="nil"/>
          <w:between w:val="nil"/>
        </w:pBdr>
        <w:spacing w:before="100" w:beforeAutospacing="1" w:after="100" w:afterAutospacing="1" w:line="360" w:lineRule="auto"/>
        <w:jc w:val="both"/>
        <w:rPr>
          <w:rFonts w:ascii="Verdana" w:hAnsi="Verdana" w:cs="Arial"/>
          <w:i/>
          <w:iCs/>
          <w:sz w:val="22"/>
          <w:szCs w:val="22"/>
        </w:rPr>
      </w:pPr>
      <w:r w:rsidRPr="001C6AFE">
        <w:rPr>
          <w:rFonts w:ascii="Verdana" w:eastAsia="Arial" w:hAnsi="Verdana" w:cs="Arial"/>
          <w:b/>
          <w:color w:val="000000"/>
          <w:sz w:val="22"/>
          <w:szCs w:val="22"/>
          <w:lang w:val="es-MX"/>
        </w:rPr>
        <w:t>I.</w:t>
      </w:r>
      <w:r w:rsidR="00772668" w:rsidRPr="001C6AFE">
        <w:rPr>
          <w:rFonts w:ascii="Verdana" w:eastAsia="Arial" w:hAnsi="Verdana" w:cs="Arial"/>
          <w:b/>
          <w:color w:val="000000"/>
          <w:sz w:val="22"/>
          <w:szCs w:val="22"/>
          <w:lang w:val="es-MX"/>
        </w:rPr>
        <w:t>1</w:t>
      </w:r>
      <w:r w:rsidR="00772668" w:rsidRPr="00FE32A7">
        <w:rPr>
          <w:rFonts w:ascii="Verdana" w:eastAsia="Arial" w:hAnsi="Verdana" w:cs="Arial"/>
          <w:bCs/>
          <w:color w:val="000000"/>
          <w:sz w:val="22"/>
          <w:szCs w:val="22"/>
          <w:lang w:val="es-MX"/>
        </w:rPr>
        <w:t xml:space="preserve"> </w:t>
      </w:r>
      <w:r w:rsidR="002D2280" w:rsidRPr="00FE32A7">
        <w:rPr>
          <w:rFonts w:ascii="Verdana" w:eastAsia="Arial" w:hAnsi="Verdana"/>
          <w:sz w:val="22"/>
          <w:szCs w:val="22"/>
        </w:rPr>
        <w:t>El</w:t>
      </w:r>
      <w:r w:rsidR="00310657">
        <w:rPr>
          <w:rFonts w:ascii="Verdana" w:eastAsia="Arial" w:hAnsi="Verdana"/>
          <w:sz w:val="22"/>
          <w:szCs w:val="22"/>
        </w:rPr>
        <w:t xml:space="preserve"> tres de noviembre de dos mil veinte dio inicio el proceso electoral </w:t>
      </w:r>
      <w:r w:rsidR="00374B3D" w:rsidRPr="00374B3D">
        <w:rPr>
          <w:rFonts w:ascii="Verdana" w:eastAsia="Arial" w:hAnsi="Verdana"/>
          <w:sz w:val="22"/>
          <w:szCs w:val="22"/>
        </w:rPr>
        <w:t>concurrente ordinario</w:t>
      </w:r>
      <w:r w:rsidR="00310657">
        <w:rPr>
          <w:rFonts w:ascii="Verdana" w:eastAsia="Arial" w:hAnsi="Verdana"/>
          <w:sz w:val="22"/>
          <w:szCs w:val="22"/>
        </w:rPr>
        <w:t xml:space="preserve"> para </w:t>
      </w:r>
      <w:r w:rsidR="00310657" w:rsidRPr="00FE32A7">
        <w:rPr>
          <w:rFonts w:ascii="Verdana" w:eastAsia="Arial" w:hAnsi="Verdana"/>
          <w:sz w:val="22"/>
          <w:szCs w:val="22"/>
        </w:rPr>
        <w:t xml:space="preserve">la renovación de Diputaciones Locales y </w:t>
      </w:r>
      <w:r w:rsidR="00310657" w:rsidRPr="00FE32A7">
        <w:rPr>
          <w:rFonts w:ascii="Verdana" w:eastAsia="Arial" w:hAnsi="Verdana"/>
          <w:sz w:val="22"/>
          <w:szCs w:val="22"/>
        </w:rPr>
        <w:lastRenderedPageBreak/>
        <w:t>Ayuntamientos en el Estado</w:t>
      </w:r>
      <w:r w:rsidR="00310657" w:rsidRPr="00FE32A7">
        <w:rPr>
          <w:rStyle w:val="Refdenotaalpie"/>
          <w:rFonts w:ascii="Verdana" w:eastAsia="Arial" w:hAnsi="Verdana"/>
          <w:sz w:val="22"/>
          <w:szCs w:val="22"/>
        </w:rPr>
        <w:footnoteReference w:id="1"/>
      </w:r>
      <w:r w:rsidR="00310657">
        <w:rPr>
          <w:rFonts w:ascii="Verdana" w:eastAsia="Arial" w:hAnsi="Verdana"/>
          <w:sz w:val="22"/>
          <w:szCs w:val="22"/>
        </w:rPr>
        <w:t>, llevándose a cabo la jornada comicial el</w:t>
      </w:r>
      <w:r w:rsidR="002D2280" w:rsidRPr="00FE32A7">
        <w:rPr>
          <w:rFonts w:ascii="Verdana" w:eastAsia="Arial" w:hAnsi="Verdana"/>
          <w:sz w:val="22"/>
          <w:szCs w:val="22"/>
        </w:rPr>
        <w:t xml:space="preserve"> seis de junio de dos mil veintiuno,</w:t>
      </w:r>
      <w:r w:rsidR="00310657">
        <w:rPr>
          <w:rFonts w:ascii="Verdana" w:eastAsia="Arial" w:hAnsi="Verdana"/>
          <w:sz w:val="22"/>
          <w:szCs w:val="22"/>
        </w:rPr>
        <w:t xml:space="preserve"> concluyendo el dieciocho de octubre </w:t>
      </w:r>
      <w:r w:rsidR="00000D96">
        <w:rPr>
          <w:rFonts w:ascii="Verdana" w:eastAsia="Arial" w:hAnsi="Verdana"/>
          <w:sz w:val="22"/>
          <w:szCs w:val="22"/>
        </w:rPr>
        <w:t>del mismo año</w:t>
      </w:r>
      <w:r w:rsidR="002D2280" w:rsidRPr="00FE32A7">
        <w:rPr>
          <w:rFonts w:ascii="Verdana" w:eastAsia="Arial" w:hAnsi="Verdana"/>
          <w:sz w:val="22"/>
          <w:szCs w:val="22"/>
        </w:rPr>
        <w:t xml:space="preserve">. </w:t>
      </w:r>
    </w:p>
    <w:p w14:paraId="44A86833" w14:textId="7FD2F436" w:rsidR="00AB3522" w:rsidRPr="00FE32A7" w:rsidRDefault="001C6AFE" w:rsidP="00772668">
      <w:pPr>
        <w:spacing w:line="360" w:lineRule="auto"/>
        <w:jc w:val="both"/>
        <w:rPr>
          <w:rFonts w:ascii="Verdana" w:eastAsia="Arial" w:hAnsi="Verdana"/>
          <w:sz w:val="22"/>
          <w:szCs w:val="22"/>
        </w:rPr>
      </w:pPr>
      <w:r>
        <w:rPr>
          <w:rFonts w:ascii="Verdana" w:eastAsia="Arial" w:hAnsi="Verdana"/>
          <w:b/>
          <w:bCs/>
          <w:sz w:val="22"/>
          <w:szCs w:val="22"/>
        </w:rPr>
        <w:t>I.</w:t>
      </w:r>
      <w:r w:rsidR="00AB3522">
        <w:rPr>
          <w:rFonts w:ascii="Verdana" w:eastAsia="Arial" w:hAnsi="Verdana"/>
          <w:b/>
          <w:bCs/>
          <w:sz w:val="22"/>
          <w:szCs w:val="22"/>
        </w:rPr>
        <w:t>2</w:t>
      </w:r>
      <w:r w:rsidR="00E71CE0" w:rsidRPr="00FE32A7">
        <w:rPr>
          <w:rFonts w:ascii="Verdana" w:eastAsia="Arial" w:hAnsi="Verdana"/>
          <w:sz w:val="22"/>
          <w:szCs w:val="22"/>
        </w:rPr>
        <w:t xml:space="preserve"> El trece de junio de dos mil veintiuno,</w:t>
      </w:r>
      <w:r w:rsidR="007466BA">
        <w:rPr>
          <w:rFonts w:ascii="Verdana" w:eastAsia="Arial" w:hAnsi="Verdana"/>
          <w:sz w:val="22"/>
          <w:szCs w:val="22"/>
        </w:rPr>
        <w:t xml:space="preserve"> la</w:t>
      </w:r>
      <w:r w:rsidR="00E71CE0" w:rsidRPr="00FE32A7">
        <w:rPr>
          <w:rFonts w:ascii="Verdana" w:eastAsia="Arial" w:hAnsi="Verdana"/>
          <w:sz w:val="22"/>
          <w:szCs w:val="22"/>
        </w:rPr>
        <w:t xml:space="preserve"> </w:t>
      </w:r>
      <w:r w:rsidR="007466BA">
        <w:rPr>
          <w:rFonts w:ascii="Verdana" w:hAnsi="Verdana"/>
          <w:bCs/>
          <w:smallCaps/>
          <w:sz w:val="22"/>
          <w:szCs w:val="22"/>
        </w:rPr>
        <w:t>Autoridad Responsable</w:t>
      </w:r>
      <w:r w:rsidR="007466BA" w:rsidRPr="00FE32A7">
        <w:rPr>
          <w:rFonts w:ascii="Verdana" w:eastAsia="Arial" w:hAnsi="Verdana"/>
          <w:sz w:val="22"/>
          <w:szCs w:val="22"/>
        </w:rPr>
        <w:t xml:space="preserve"> </w:t>
      </w:r>
      <w:r w:rsidR="00E71CE0" w:rsidRPr="00FE32A7">
        <w:rPr>
          <w:rFonts w:ascii="Verdana" w:eastAsia="Arial" w:hAnsi="Verdana"/>
          <w:sz w:val="22"/>
          <w:szCs w:val="22"/>
        </w:rPr>
        <w:t>emitió el Acuerdo CG-A-54/2021</w:t>
      </w:r>
      <w:r w:rsidR="009A209D" w:rsidRPr="00FE32A7">
        <w:rPr>
          <w:rFonts w:ascii="Verdana" w:eastAsia="Arial" w:hAnsi="Verdana"/>
          <w:sz w:val="22"/>
          <w:szCs w:val="22"/>
        </w:rPr>
        <w:t>,</w:t>
      </w:r>
      <w:r w:rsidR="00E71CE0" w:rsidRPr="00FE32A7">
        <w:rPr>
          <w:rFonts w:ascii="Verdana" w:eastAsia="Arial" w:hAnsi="Verdana"/>
          <w:sz w:val="22"/>
          <w:szCs w:val="22"/>
        </w:rPr>
        <w:t xml:space="preserve"> mediante el cual se asigna</w:t>
      </w:r>
      <w:r w:rsidR="00AB3522">
        <w:rPr>
          <w:rFonts w:ascii="Verdana" w:eastAsia="Arial" w:hAnsi="Verdana"/>
          <w:sz w:val="22"/>
          <w:szCs w:val="22"/>
        </w:rPr>
        <w:t>ron</w:t>
      </w:r>
      <w:r w:rsidR="00E71CE0" w:rsidRPr="00FE32A7">
        <w:rPr>
          <w:rFonts w:ascii="Verdana" w:eastAsia="Arial" w:hAnsi="Verdana"/>
          <w:sz w:val="22"/>
          <w:szCs w:val="22"/>
        </w:rPr>
        <w:t xml:space="preserve"> las Diputaciones por el Principio de Representación Proporcional, en el </w:t>
      </w:r>
      <w:r w:rsidR="007466BA">
        <w:rPr>
          <w:rFonts w:ascii="Verdana" w:eastAsia="Arial" w:hAnsi="Verdana"/>
          <w:sz w:val="22"/>
          <w:szCs w:val="22"/>
        </w:rPr>
        <w:t>p</w:t>
      </w:r>
      <w:r w:rsidR="00E71CE0" w:rsidRPr="00FE32A7">
        <w:rPr>
          <w:rFonts w:ascii="Verdana" w:eastAsia="Arial" w:hAnsi="Verdana"/>
          <w:sz w:val="22"/>
          <w:szCs w:val="22"/>
        </w:rPr>
        <w:t xml:space="preserve">roceso </w:t>
      </w:r>
      <w:r w:rsidR="007466BA">
        <w:rPr>
          <w:rFonts w:ascii="Verdana" w:eastAsia="Arial" w:hAnsi="Verdana"/>
          <w:sz w:val="22"/>
          <w:szCs w:val="22"/>
        </w:rPr>
        <w:t>e</w:t>
      </w:r>
      <w:r w:rsidR="00E71CE0" w:rsidRPr="00FE32A7">
        <w:rPr>
          <w:rFonts w:ascii="Verdana" w:eastAsia="Arial" w:hAnsi="Verdana"/>
          <w:sz w:val="22"/>
          <w:szCs w:val="22"/>
        </w:rPr>
        <w:t xml:space="preserve">lectoral </w:t>
      </w:r>
      <w:r w:rsidR="007466BA">
        <w:rPr>
          <w:rFonts w:ascii="Verdana" w:eastAsia="Arial" w:hAnsi="Verdana"/>
          <w:sz w:val="22"/>
          <w:szCs w:val="22"/>
        </w:rPr>
        <w:t>c</w:t>
      </w:r>
      <w:r w:rsidR="00E71CE0" w:rsidRPr="00FE32A7">
        <w:rPr>
          <w:rFonts w:ascii="Verdana" w:eastAsia="Arial" w:hAnsi="Verdana"/>
          <w:sz w:val="22"/>
          <w:szCs w:val="22"/>
        </w:rPr>
        <w:t xml:space="preserve">oncurrente </w:t>
      </w:r>
      <w:r w:rsidR="007466BA">
        <w:rPr>
          <w:rFonts w:ascii="Verdana" w:eastAsia="Arial" w:hAnsi="Verdana"/>
          <w:sz w:val="22"/>
          <w:szCs w:val="22"/>
        </w:rPr>
        <w:t>o</w:t>
      </w:r>
      <w:r w:rsidR="00E71CE0" w:rsidRPr="00FE32A7">
        <w:rPr>
          <w:rFonts w:ascii="Verdana" w:eastAsia="Arial" w:hAnsi="Verdana"/>
          <w:sz w:val="22"/>
          <w:szCs w:val="22"/>
        </w:rPr>
        <w:t>rdinario 2020-2021.</w:t>
      </w:r>
    </w:p>
    <w:p w14:paraId="4439CC40" w14:textId="7D1FA590" w:rsidR="00362715" w:rsidRDefault="001C6AFE" w:rsidP="00E71CE0">
      <w:pPr>
        <w:spacing w:line="360" w:lineRule="auto"/>
        <w:jc w:val="both"/>
        <w:rPr>
          <w:rFonts w:ascii="Verdana" w:eastAsia="Arial" w:hAnsi="Verdana"/>
          <w:sz w:val="22"/>
          <w:szCs w:val="22"/>
        </w:rPr>
      </w:pPr>
      <w:r>
        <w:rPr>
          <w:rFonts w:ascii="Verdana" w:eastAsia="Arial" w:hAnsi="Verdana"/>
          <w:b/>
          <w:bCs/>
          <w:sz w:val="22"/>
          <w:szCs w:val="22"/>
        </w:rPr>
        <w:t>I.</w:t>
      </w:r>
      <w:r w:rsidR="00AB3522">
        <w:rPr>
          <w:rFonts w:ascii="Verdana" w:eastAsia="Arial" w:hAnsi="Verdana"/>
          <w:b/>
          <w:bCs/>
          <w:sz w:val="22"/>
          <w:szCs w:val="22"/>
        </w:rPr>
        <w:t>3</w:t>
      </w:r>
      <w:r w:rsidR="00E71CE0" w:rsidRPr="00FE32A7">
        <w:rPr>
          <w:rFonts w:ascii="Verdana" w:eastAsia="Arial" w:hAnsi="Verdana"/>
          <w:sz w:val="22"/>
          <w:szCs w:val="22"/>
        </w:rPr>
        <w:t xml:space="preserve"> </w:t>
      </w:r>
      <w:r w:rsidR="00374B3D">
        <w:rPr>
          <w:rFonts w:ascii="Verdana" w:eastAsia="Arial" w:hAnsi="Verdana"/>
          <w:sz w:val="22"/>
          <w:szCs w:val="22"/>
        </w:rPr>
        <w:t>El siete de octubre de dos mil veintiuno</w:t>
      </w:r>
      <w:r w:rsidR="00870A1F">
        <w:rPr>
          <w:rFonts w:ascii="Verdana" w:eastAsia="Arial" w:hAnsi="Verdana"/>
          <w:sz w:val="22"/>
          <w:szCs w:val="22"/>
        </w:rPr>
        <w:t xml:space="preserve"> dio inicio el proceso electoral local para la renovación de la Gubernatura</w:t>
      </w:r>
      <w:r w:rsidR="00945A01">
        <w:rPr>
          <w:rFonts w:ascii="Verdana" w:eastAsia="Arial" w:hAnsi="Verdana"/>
          <w:sz w:val="22"/>
          <w:szCs w:val="22"/>
        </w:rPr>
        <w:t xml:space="preserve"> del Estado</w:t>
      </w:r>
      <w:r w:rsidR="00945A01">
        <w:rPr>
          <w:rStyle w:val="Refdenotaalpie"/>
          <w:rFonts w:ascii="Verdana" w:eastAsia="Arial" w:hAnsi="Verdana"/>
          <w:sz w:val="22"/>
          <w:szCs w:val="22"/>
        </w:rPr>
        <w:footnoteReference w:id="2"/>
      </w:r>
      <w:r w:rsidR="00945A01">
        <w:rPr>
          <w:rFonts w:ascii="Verdana" w:eastAsia="Arial" w:hAnsi="Verdana"/>
          <w:sz w:val="22"/>
          <w:szCs w:val="22"/>
        </w:rPr>
        <w:t>.</w:t>
      </w:r>
    </w:p>
    <w:p w14:paraId="2897A14A" w14:textId="7696061D" w:rsidR="00B0282E" w:rsidRPr="00FE32A7" w:rsidRDefault="001C6AFE" w:rsidP="00772668">
      <w:pPr>
        <w:spacing w:line="360" w:lineRule="auto"/>
        <w:jc w:val="both"/>
        <w:rPr>
          <w:rFonts w:ascii="Verdana" w:eastAsia="Arial" w:hAnsi="Verdana"/>
          <w:sz w:val="22"/>
          <w:szCs w:val="22"/>
        </w:rPr>
      </w:pPr>
      <w:r>
        <w:rPr>
          <w:rFonts w:ascii="Verdana" w:eastAsia="Arial" w:hAnsi="Verdana"/>
          <w:b/>
          <w:bCs/>
          <w:sz w:val="22"/>
          <w:szCs w:val="22"/>
        </w:rPr>
        <w:t>I.</w:t>
      </w:r>
      <w:r w:rsidR="00AB3522">
        <w:rPr>
          <w:rFonts w:ascii="Verdana" w:eastAsia="Arial" w:hAnsi="Verdana"/>
          <w:b/>
          <w:bCs/>
          <w:sz w:val="22"/>
          <w:szCs w:val="22"/>
        </w:rPr>
        <w:t>4</w:t>
      </w:r>
      <w:r w:rsidR="00B0282E" w:rsidRPr="00FE32A7">
        <w:rPr>
          <w:rFonts w:ascii="Verdana" w:eastAsia="Arial" w:hAnsi="Verdana"/>
          <w:sz w:val="22"/>
          <w:szCs w:val="22"/>
        </w:rPr>
        <w:t xml:space="preserve"> El cinco de junio de dos mil veintidós, tuvo verificativo la jornada electoral correspondiente a la renovación del Poder Ejecutivo del Estad</w:t>
      </w:r>
      <w:r w:rsidR="00945A01">
        <w:rPr>
          <w:rFonts w:ascii="Verdana" w:eastAsia="Arial" w:hAnsi="Verdana"/>
          <w:sz w:val="22"/>
          <w:szCs w:val="22"/>
        </w:rPr>
        <w:t>o,</w:t>
      </w:r>
      <w:r w:rsidR="00945A01" w:rsidRPr="00945A01">
        <w:rPr>
          <w:rFonts w:ascii="Verdana" w:eastAsia="Arial" w:hAnsi="Verdana"/>
          <w:sz w:val="22"/>
          <w:szCs w:val="22"/>
        </w:rPr>
        <w:t xml:space="preserve"> </w:t>
      </w:r>
      <w:r w:rsidR="00945A01">
        <w:rPr>
          <w:rFonts w:ascii="Verdana" w:eastAsia="Arial" w:hAnsi="Verdana"/>
          <w:sz w:val="22"/>
          <w:szCs w:val="22"/>
        </w:rPr>
        <w:t>concluyendo dicho proceso el veintiuno de septiembre del mismo año</w:t>
      </w:r>
      <w:r w:rsidR="00945A01" w:rsidRPr="00FE32A7">
        <w:rPr>
          <w:rFonts w:ascii="Verdana" w:eastAsia="Arial" w:hAnsi="Verdana"/>
          <w:sz w:val="22"/>
          <w:szCs w:val="22"/>
        </w:rPr>
        <w:t>.</w:t>
      </w:r>
    </w:p>
    <w:p w14:paraId="0F5D7C93" w14:textId="73EE80DE" w:rsidR="009A209D" w:rsidRDefault="001C6AFE" w:rsidP="00772668">
      <w:pPr>
        <w:spacing w:line="360" w:lineRule="auto"/>
        <w:jc w:val="both"/>
        <w:rPr>
          <w:rFonts w:ascii="Verdana" w:eastAsia="Arial" w:hAnsi="Verdana"/>
          <w:sz w:val="22"/>
          <w:szCs w:val="22"/>
        </w:rPr>
      </w:pPr>
      <w:r>
        <w:rPr>
          <w:rFonts w:ascii="Verdana" w:eastAsia="Arial" w:hAnsi="Verdana"/>
          <w:b/>
          <w:bCs/>
          <w:sz w:val="22"/>
          <w:szCs w:val="22"/>
        </w:rPr>
        <w:t>I.</w:t>
      </w:r>
      <w:r w:rsidR="00AB3522">
        <w:rPr>
          <w:rFonts w:ascii="Verdana" w:eastAsia="Arial" w:hAnsi="Verdana"/>
          <w:b/>
          <w:bCs/>
          <w:sz w:val="22"/>
          <w:szCs w:val="22"/>
        </w:rPr>
        <w:t>5</w:t>
      </w:r>
      <w:r w:rsidR="009A209D" w:rsidRPr="00FE32A7">
        <w:rPr>
          <w:rFonts w:ascii="Verdana" w:eastAsia="Arial" w:hAnsi="Verdana"/>
          <w:sz w:val="22"/>
          <w:szCs w:val="22"/>
        </w:rPr>
        <w:t xml:space="preserve"> El </w:t>
      </w:r>
      <w:r w:rsidR="00142047" w:rsidRPr="00FE32A7">
        <w:rPr>
          <w:rFonts w:ascii="Verdana" w:eastAsia="Arial" w:hAnsi="Verdana"/>
          <w:sz w:val="22"/>
          <w:szCs w:val="22"/>
        </w:rPr>
        <w:t xml:space="preserve">doce de junio de dos mil veintidós, </w:t>
      </w:r>
      <w:r w:rsidR="007466BA">
        <w:rPr>
          <w:rFonts w:ascii="Verdana" w:eastAsia="Arial" w:hAnsi="Verdana"/>
          <w:sz w:val="22"/>
          <w:szCs w:val="22"/>
        </w:rPr>
        <w:t xml:space="preserve">la </w:t>
      </w:r>
      <w:r w:rsidR="007466BA">
        <w:rPr>
          <w:rFonts w:ascii="Verdana" w:hAnsi="Verdana"/>
          <w:bCs/>
          <w:smallCaps/>
          <w:sz w:val="22"/>
          <w:szCs w:val="22"/>
        </w:rPr>
        <w:t>Autoridad Responsable</w:t>
      </w:r>
      <w:r w:rsidR="00142047" w:rsidRPr="00FE32A7">
        <w:rPr>
          <w:rFonts w:ascii="Verdana" w:eastAsia="Arial" w:hAnsi="Verdana"/>
          <w:sz w:val="22"/>
          <w:szCs w:val="22"/>
        </w:rPr>
        <w:t xml:space="preserve"> emitió el Acuerdo CG-A-46/2022, mediante el cual aprueba el cómputo final de la elección a la Gubernatura del Estado de Aguascalientes, declara la validez de la elección y se expide la constancia de mayoría a la Gobernadora Electa en el Proceso Electoral Local 2021-2022</w:t>
      </w:r>
      <w:r w:rsidR="00945A01">
        <w:rPr>
          <w:rFonts w:ascii="Verdana" w:eastAsia="Arial" w:hAnsi="Verdana"/>
          <w:sz w:val="22"/>
          <w:szCs w:val="22"/>
        </w:rPr>
        <w:t>.</w:t>
      </w:r>
    </w:p>
    <w:p w14:paraId="3D55F017" w14:textId="4060B9DB" w:rsidR="00F21EAB" w:rsidRDefault="001C6AFE" w:rsidP="00772668">
      <w:pPr>
        <w:spacing w:line="360" w:lineRule="auto"/>
        <w:jc w:val="both"/>
        <w:rPr>
          <w:rFonts w:ascii="Verdana" w:eastAsia="Arial" w:hAnsi="Verdana"/>
          <w:sz w:val="22"/>
          <w:szCs w:val="22"/>
        </w:rPr>
      </w:pPr>
      <w:r>
        <w:rPr>
          <w:rFonts w:ascii="Verdana" w:eastAsia="Arial" w:hAnsi="Verdana"/>
          <w:b/>
          <w:bCs/>
          <w:sz w:val="22"/>
          <w:szCs w:val="22"/>
        </w:rPr>
        <w:t>I.</w:t>
      </w:r>
      <w:r w:rsidR="00F21EAB">
        <w:rPr>
          <w:rFonts w:ascii="Verdana" w:eastAsia="Arial" w:hAnsi="Verdana"/>
          <w:b/>
          <w:bCs/>
          <w:sz w:val="22"/>
          <w:szCs w:val="22"/>
        </w:rPr>
        <w:t xml:space="preserve">6 </w:t>
      </w:r>
      <w:r w:rsidR="00F21EAB">
        <w:rPr>
          <w:rFonts w:ascii="Verdana" w:eastAsia="Arial" w:hAnsi="Verdana"/>
          <w:sz w:val="22"/>
          <w:szCs w:val="22"/>
        </w:rPr>
        <w:t xml:space="preserve">El veintinueve de agosto de dos mil veintidós, </w:t>
      </w:r>
      <w:r w:rsidR="007466BA">
        <w:rPr>
          <w:rFonts w:ascii="Verdana" w:eastAsia="Arial" w:hAnsi="Verdana"/>
          <w:sz w:val="22"/>
          <w:szCs w:val="22"/>
        </w:rPr>
        <w:t xml:space="preserve">la </w:t>
      </w:r>
      <w:r w:rsidR="007466BA">
        <w:rPr>
          <w:rFonts w:ascii="Verdana" w:hAnsi="Verdana"/>
          <w:bCs/>
          <w:smallCaps/>
          <w:sz w:val="22"/>
          <w:szCs w:val="22"/>
        </w:rPr>
        <w:t>Autoridad Responsable</w:t>
      </w:r>
      <w:r w:rsidR="007466BA">
        <w:rPr>
          <w:rFonts w:ascii="Verdana" w:eastAsia="Arial" w:hAnsi="Verdana"/>
          <w:sz w:val="22"/>
          <w:szCs w:val="22"/>
        </w:rPr>
        <w:t xml:space="preserve"> </w:t>
      </w:r>
      <w:r w:rsidR="00F21EAB" w:rsidRPr="00FE32A7">
        <w:rPr>
          <w:rFonts w:ascii="Verdana" w:eastAsia="Arial" w:hAnsi="Verdana"/>
          <w:sz w:val="22"/>
          <w:szCs w:val="22"/>
        </w:rPr>
        <w:t>emitió el Acuerdo CG-A-</w:t>
      </w:r>
      <w:r w:rsidR="00F21EAB">
        <w:rPr>
          <w:rFonts w:ascii="Verdana" w:eastAsia="Arial" w:hAnsi="Verdana"/>
          <w:sz w:val="22"/>
          <w:szCs w:val="22"/>
        </w:rPr>
        <w:t>51</w:t>
      </w:r>
      <w:r w:rsidR="00F21EAB" w:rsidRPr="00FE32A7">
        <w:rPr>
          <w:rFonts w:ascii="Verdana" w:eastAsia="Arial" w:hAnsi="Verdana"/>
          <w:sz w:val="22"/>
          <w:szCs w:val="22"/>
        </w:rPr>
        <w:t>/22</w:t>
      </w:r>
      <w:r w:rsidR="00F21EAB">
        <w:rPr>
          <w:rFonts w:ascii="Verdana" w:eastAsia="Arial" w:hAnsi="Verdana"/>
          <w:sz w:val="22"/>
          <w:szCs w:val="22"/>
        </w:rPr>
        <w:t xml:space="preserve">, en el cual aprobó el proyecto de presupuesto para el financiamiento público estatal anual ordinario de los partidos políticos nacionales y locales, acreditados y registrados en el Estado, respectivamente, correspondiente al ejercicio fiscal del año dos mil veintitrés. </w:t>
      </w:r>
    </w:p>
    <w:p w14:paraId="20ABB378" w14:textId="4F27A54D" w:rsidR="002C1CFE" w:rsidRDefault="001C6AFE" w:rsidP="00772668">
      <w:pPr>
        <w:spacing w:line="360" w:lineRule="auto"/>
        <w:jc w:val="both"/>
        <w:rPr>
          <w:rFonts w:ascii="Verdana" w:eastAsia="Arial" w:hAnsi="Verdana"/>
          <w:sz w:val="22"/>
          <w:szCs w:val="22"/>
        </w:rPr>
      </w:pPr>
      <w:r>
        <w:rPr>
          <w:rFonts w:ascii="Verdana" w:eastAsia="Arial" w:hAnsi="Verdana"/>
          <w:b/>
          <w:bCs/>
          <w:sz w:val="22"/>
          <w:szCs w:val="22"/>
        </w:rPr>
        <w:t>I.</w:t>
      </w:r>
      <w:r w:rsidR="00F21EAB" w:rsidRPr="00F21EAB">
        <w:rPr>
          <w:rFonts w:ascii="Verdana" w:eastAsia="Arial" w:hAnsi="Verdana"/>
          <w:b/>
          <w:bCs/>
          <w:sz w:val="22"/>
          <w:szCs w:val="22"/>
        </w:rPr>
        <w:t>7</w:t>
      </w:r>
      <w:r w:rsidR="00F21EAB">
        <w:rPr>
          <w:rFonts w:ascii="Verdana" w:eastAsia="Arial" w:hAnsi="Verdana"/>
          <w:sz w:val="22"/>
          <w:szCs w:val="22"/>
        </w:rPr>
        <w:t xml:space="preserve"> El treinta y uno de octubre de dos mil veintidós, </w:t>
      </w:r>
      <w:r w:rsidR="007466BA">
        <w:rPr>
          <w:rFonts w:ascii="Verdana" w:eastAsia="Arial" w:hAnsi="Verdana"/>
          <w:sz w:val="22"/>
          <w:szCs w:val="22"/>
        </w:rPr>
        <w:t xml:space="preserve">la </w:t>
      </w:r>
      <w:r w:rsidR="007466BA">
        <w:rPr>
          <w:rFonts w:ascii="Verdana" w:hAnsi="Verdana"/>
          <w:bCs/>
          <w:smallCaps/>
          <w:sz w:val="22"/>
          <w:szCs w:val="22"/>
        </w:rPr>
        <w:t>Autoridad Responsable</w:t>
      </w:r>
      <w:r w:rsidR="00EB2A94">
        <w:rPr>
          <w:rFonts w:ascii="Verdana" w:eastAsia="Arial" w:hAnsi="Verdana"/>
          <w:sz w:val="22"/>
          <w:szCs w:val="22"/>
        </w:rPr>
        <w:t xml:space="preserve"> </w:t>
      </w:r>
      <w:r w:rsidR="002C1CFE">
        <w:rPr>
          <w:rFonts w:ascii="Verdana" w:eastAsia="Arial" w:hAnsi="Verdana"/>
          <w:sz w:val="22"/>
          <w:szCs w:val="22"/>
        </w:rPr>
        <w:t xml:space="preserve">emitió Resolución </w:t>
      </w:r>
      <w:r w:rsidR="00790C1E">
        <w:rPr>
          <w:rFonts w:ascii="Verdana" w:eastAsia="Arial" w:hAnsi="Verdana"/>
          <w:sz w:val="22"/>
          <w:szCs w:val="22"/>
        </w:rPr>
        <w:t xml:space="preserve">CG-R-19/22, </w:t>
      </w:r>
      <w:r w:rsidR="002C1CFE">
        <w:rPr>
          <w:rFonts w:ascii="Verdana" w:eastAsia="Arial" w:hAnsi="Verdana"/>
          <w:sz w:val="22"/>
          <w:szCs w:val="22"/>
        </w:rPr>
        <w:t>por la cual se pronunció respecto del proyecto de dictamen de pérdida de registro del partido político local Fuerza por México Aguascalientes, emitido por la Junta Estatal Ejecutiva del Instituto Estatal Electoral de Aguascalientes, en fecha dieciocho de octubre de dos mil veintidós</w:t>
      </w:r>
      <w:r w:rsidR="00790C1E">
        <w:rPr>
          <w:rFonts w:ascii="Verdana" w:eastAsia="Arial" w:hAnsi="Verdana"/>
          <w:sz w:val="22"/>
          <w:szCs w:val="22"/>
        </w:rPr>
        <w:t>, en la que aprobó el Dictamen de pérdida de registro del partido político local Fuerza por México Aguascalientes.</w:t>
      </w:r>
    </w:p>
    <w:p w14:paraId="4B25EF60" w14:textId="7FB54DB1" w:rsidR="00790C1E" w:rsidRDefault="001C6AFE" w:rsidP="00772668">
      <w:pPr>
        <w:spacing w:line="360" w:lineRule="auto"/>
        <w:jc w:val="both"/>
        <w:rPr>
          <w:rFonts w:ascii="Verdana" w:eastAsia="Arial" w:hAnsi="Verdana"/>
          <w:sz w:val="22"/>
          <w:szCs w:val="22"/>
        </w:rPr>
      </w:pPr>
      <w:r>
        <w:rPr>
          <w:rFonts w:ascii="Verdana" w:eastAsia="Arial" w:hAnsi="Verdana"/>
          <w:b/>
          <w:bCs/>
          <w:sz w:val="22"/>
          <w:szCs w:val="22"/>
        </w:rPr>
        <w:t>I.</w:t>
      </w:r>
      <w:r w:rsidR="00790C1E" w:rsidRPr="00790C1E">
        <w:rPr>
          <w:rFonts w:ascii="Verdana" w:eastAsia="Arial" w:hAnsi="Verdana"/>
          <w:b/>
          <w:bCs/>
          <w:sz w:val="22"/>
          <w:szCs w:val="22"/>
        </w:rPr>
        <w:t>8</w:t>
      </w:r>
      <w:r w:rsidR="00790C1E">
        <w:rPr>
          <w:rFonts w:ascii="Verdana" w:eastAsia="Arial" w:hAnsi="Verdana"/>
          <w:sz w:val="22"/>
          <w:szCs w:val="22"/>
        </w:rPr>
        <w:t xml:space="preserve"> El treinta y uno de diciembre de dos mil veintidós, se publicó en la tercera edición del Periódico Oficial del Estado de Aguascalientes, tomo XXIII, número 72, el Decreto número 265, mediante el cual, la </w:t>
      </w:r>
      <w:r w:rsidR="001F25C7">
        <w:rPr>
          <w:rFonts w:ascii="Verdana" w:eastAsia="Arial" w:hAnsi="Verdana"/>
          <w:sz w:val="22"/>
          <w:szCs w:val="22"/>
        </w:rPr>
        <w:t xml:space="preserve">LXV Legislatura del Congreso del Estado de Aguascalientes, aprobó el </w:t>
      </w:r>
      <w:r w:rsidR="001F25C7">
        <w:rPr>
          <w:rFonts w:ascii="Verdana" w:eastAsia="Arial" w:hAnsi="Verdana"/>
          <w:sz w:val="22"/>
          <w:szCs w:val="22"/>
        </w:rPr>
        <w:lastRenderedPageBreak/>
        <w:t>Presupuesto de Egresos del Estado de Aguascalientes, para el ejercicio fiscal del año dos mil veintitrés; cuyo artículo 9, fracción IV.2 dispone lo siguiente:</w:t>
      </w:r>
    </w:p>
    <w:p w14:paraId="001F3E8A" w14:textId="0AA9240E" w:rsidR="001F25C7" w:rsidRPr="001F25C7" w:rsidRDefault="001F25C7" w:rsidP="001F25C7">
      <w:pPr>
        <w:spacing w:before="0" w:after="0"/>
        <w:ind w:left="567" w:right="567"/>
        <w:jc w:val="both"/>
        <w:rPr>
          <w:rFonts w:ascii="Verdana" w:eastAsia="Arial" w:hAnsi="Verdana"/>
          <w:sz w:val="22"/>
          <w:szCs w:val="22"/>
          <w:lang w:val="es-MX"/>
        </w:rPr>
      </w:pPr>
      <w:r>
        <w:rPr>
          <w:rFonts w:ascii="Verdana" w:eastAsia="Arial" w:hAnsi="Verdana"/>
          <w:sz w:val="22"/>
          <w:szCs w:val="22"/>
          <w:lang w:val="es-MX"/>
        </w:rPr>
        <w:t>“</w:t>
      </w:r>
      <w:r w:rsidRPr="001F25C7">
        <w:rPr>
          <w:rFonts w:ascii="Verdana" w:eastAsia="Arial" w:hAnsi="Verdana"/>
          <w:i/>
          <w:iCs/>
          <w:sz w:val="22"/>
          <w:szCs w:val="22"/>
          <w:lang w:val="es-MX"/>
        </w:rPr>
        <w:t xml:space="preserve">IV.2. En el </w:t>
      </w:r>
      <w:r w:rsidRPr="001F25C7">
        <w:rPr>
          <w:rFonts w:ascii="Verdana" w:eastAsia="Arial" w:hAnsi="Verdana"/>
          <w:b/>
          <w:bCs/>
          <w:i/>
          <w:iCs/>
          <w:sz w:val="22"/>
          <w:szCs w:val="22"/>
          <w:lang w:val="es-MX"/>
        </w:rPr>
        <w:t>IEE. Instituto Estatal Electoral</w:t>
      </w:r>
      <w:r w:rsidRPr="001F25C7">
        <w:rPr>
          <w:rFonts w:ascii="Verdana" w:eastAsia="Arial" w:hAnsi="Verdana"/>
          <w:i/>
          <w:iCs/>
          <w:sz w:val="22"/>
          <w:szCs w:val="22"/>
          <w:lang w:val="es-MX"/>
        </w:rPr>
        <w:t>, un importe de $136,936,100 (Ciento treinta y seis millones novecientos treinta y seis mil cien pesos 00/100 M.N.) de los cuales $69,761,900 (Sesenta y nueve millones setecientos sesenta y un mil novecientos pesos 00/100 M.N) se destinarán en su totalidad a complementar la operación y equipamiento y $67,174,200 (Sesenta y siete millones ciento setenta y cuatro mil doscientos pesos 00/100 M.N) para Financiamiento Público a Partidos Políticos en base al Acuerdo del Consejo General del IEE (Anexo 13)</w:t>
      </w:r>
      <w:r w:rsidRPr="001F25C7">
        <w:rPr>
          <w:rFonts w:ascii="Verdana" w:eastAsia="Arial" w:hAnsi="Verdana"/>
          <w:sz w:val="22"/>
          <w:szCs w:val="22"/>
          <w:lang w:val="es-MX"/>
        </w:rPr>
        <w:t>.</w:t>
      </w:r>
      <w:r>
        <w:rPr>
          <w:rFonts w:ascii="Verdana" w:eastAsia="Arial" w:hAnsi="Verdana"/>
          <w:sz w:val="22"/>
          <w:szCs w:val="22"/>
          <w:lang w:val="es-MX"/>
        </w:rPr>
        <w:t>”</w:t>
      </w:r>
    </w:p>
    <w:p w14:paraId="302FBE04" w14:textId="77777777" w:rsidR="001F25C7" w:rsidRPr="001F25C7" w:rsidRDefault="001F25C7" w:rsidP="00772668">
      <w:pPr>
        <w:spacing w:line="360" w:lineRule="auto"/>
        <w:jc w:val="both"/>
        <w:rPr>
          <w:rFonts w:ascii="Verdana" w:eastAsia="Arial" w:hAnsi="Verdana"/>
          <w:sz w:val="22"/>
          <w:szCs w:val="22"/>
          <w:lang w:val="es-MX"/>
        </w:rPr>
      </w:pPr>
    </w:p>
    <w:p w14:paraId="6D1B5E53" w14:textId="66CFB721" w:rsidR="00142047" w:rsidRDefault="001C6AFE" w:rsidP="00772668">
      <w:pPr>
        <w:spacing w:line="360" w:lineRule="auto"/>
        <w:jc w:val="both"/>
        <w:rPr>
          <w:rFonts w:ascii="Verdana" w:hAnsi="Verdana"/>
          <w:bCs/>
          <w:sz w:val="22"/>
          <w:szCs w:val="22"/>
        </w:rPr>
      </w:pPr>
      <w:r>
        <w:rPr>
          <w:rFonts w:ascii="Verdana" w:eastAsia="Arial" w:hAnsi="Verdana"/>
          <w:b/>
          <w:bCs/>
          <w:sz w:val="22"/>
          <w:szCs w:val="22"/>
        </w:rPr>
        <w:t>I.</w:t>
      </w:r>
      <w:r w:rsidR="001F25C7">
        <w:rPr>
          <w:rFonts w:ascii="Verdana" w:eastAsia="Arial" w:hAnsi="Verdana"/>
          <w:b/>
          <w:bCs/>
          <w:sz w:val="22"/>
          <w:szCs w:val="22"/>
        </w:rPr>
        <w:t>9</w:t>
      </w:r>
      <w:r w:rsidR="00142047" w:rsidRPr="00FE32A7">
        <w:rPr>
          <w:rFonts w:ascii="Verdana" w:eastAsia="Arial" w:hAnsi="Verdana"/>
          <w:sz w:val="22"/>
          <w:szCs w:val="22"/>
        </w:rPr>
        <w:t xml:space="preserve"> El doce de enero, </w:t>
      </w:r>
      <w:r w:rsidR="007466BA">
        <w:rPr>
          <w:rFonts w:ascii="Verdana" w:eastAsia="Arial" w:hAnsi="Verdana"/>
          <w:sz w:val="22"/>
          <w:szCs w:val="22"/>
        </w:rPr>
        <w:t xml:space="preserve">la </w:t>
      </w:r>
      <w:r w:rsidR="007466BA">
        <w:rPr>
          <w:rFonts w:ascii="Verdana" w:hAnsi="Verdana"/>
          <w:bCs/>
          <w:smallCaps/>
          <w:sz w:val="22"/>
          <w:szCs w:val="22"/>
        </w:rPr>
        <w:t>Autoridad Responsable</w:t>
      </w:r>
      <w:r w:rsidR="00142047" w:rsidRPr="00FE32A7">
        <w:rPr>
          <w:rFonts w:ascii="Verdana" w:eastAsia="Arial" w:hAnsi="Verdana"/>
          <w:sz w:val="22"/>
          <w:szCs w:val="22"/>
        </w:rPr>
        <w:t xml:space="preserve"> emitió el Acuerdo CG-A-01/2023, mediante el cual </w:t>
      </w:r>
      <w:r w:rsidR="00142047" w:rsidRPr="00FE32A7">
        <w:rPr>
          <w:rFonts w:ascii="Verdana" w:hAnsi="Verdana"/>
          <w:bCs/>
          <w:sz w:val="22"/>
          <w:szCs w:val="22"/>
        </w:rPr>
        <w:t>aprueba la distribución del financiamiento público estatal a los partidos políticos, para su gasto ordinario y actividades específicas correspondiente al ejercicio fiscal del año dos mil veintitrés; y se establecen los montos de los límites a las aportaciones de financiamiento privado de los partidos políticos.</w:t>
      </w:r>
    </w:p>
    <w:p w14:paraId="5E7A0ED6" w14:textId="2ACB52B0" w:rsidR="00CB101A" w:rsidRPr="001C6AFE" w:rsidRDefault="001C6AFE" w:rsidP="001C6AFE">
      <w:pPr>
        <w:spacing w:line="360" w:lineRule="auto"/>
        <w:jc w:val="both"/>
        <w:rPr>
          <w:rFonts w:ascii="Verdana" w:hAnsi="Verdana"/>
          <w:bCs/>
          <w:sz w:val="22"/>
          <w:szCs w:val="22"/>
        </w:rPr>
      </w:pPr>
      <w:r>
        <w:rPr>
          <w:rFonts w:ascii="Verdana" w:hAnsi="Verdana"/>
          <w:b/>
          <w:sz w:val="22"/>
          <w:szCs w:val="22"/>
        </w:rPr>
        <w:t>I.</w:t>
      </w:r>
      <w:r w:rsidR="00540C22" w:rsidRPr="001F25C7">
        <w:rPr>
          <w:rFonts w:ascii="Verdana" w:hAnsi="Verdana"/>
          <w:b/>
          <w:sz w:val="22"/>
          <w:szCs w:val="22"/>
        </w:rPr>
        <w:t>10</w:t>
      </w:r>
      <w:r w:rsidR="00540C22">
        <w:rPr>
          <w:rFonts w:ascii="Verdana" w:hAnsi="Verdana"/>
          <w:bCs/>
          <w:sz w:val="22"/>
          <w:szCs w:val="22"/>
        </w:rPr>
        <w:t xml:space="preserve"> </w:t>
      </w:r>
      <w:r w:rsidR="00540C22" w:rsidRPr="00540C22">
        <w:rPr>
          <w:rFonts w:ascii="Verdana" w:hAnsi="Verdana"/>
          <w:b/>
          <w:sz w:val="22"/>
          <w:szCs w:val="22"/>
        </w:rPr>
        <w:t>Juicio de Revisión Constitucional</w:t>
      </w:r>
      <w:r>
        <w:rPr>
          <w:rFonts w:ascii="Verdana" w:hAnsi="Verdana"/>
          <w:b/>
          <w:sz w:val="22"/>
          <w:szCs w:val="22"/>
        </w:rPr>
        <w:t>.</w:t>
      </w:r>
      <w:r>
        <w:rPr>
          <w:rFonts w:ascii="Verdana" w:hAnsi="Verdana"/>
          <w:bCs/>
          <w:sz w:val="22"/>
          <w:szCs w:val="22"/>
        </w:rPr>
        <w:t xml:space="preserve"> </w:t>
      </w:r>
      <w:r w:rsidR="001F25C7" w:rsidRPr="001C6AFE">
        <w:rPr>
          <w:rFonts w:ascii="Verdana" w:hAnsi="Verdana"/>
          <w:bCs/>
          <w:sz w:val="22"/>
          <w:szCs w:val="22"/>
        </w:rPr>
        <w:t>El diecisiete de enero,</w:t>
      </w:r>
      <w:r w:rsidR="00E05863" w:rsidRPr="001C6AFE">
        <w:rPr>
          <w:rFonts w:ascii="Verdana" w:hAnsi="Verdana"/>
          <w:bCs/>
          <w:sz w:val="22"/>
          <w:szCs w:val="22"/>
        </w:rPr>
        <w:t xml:space="preserve"> la</w:t>
      </w:r>
      <w:r w:rsidR="001F25C7" w:rsidRPr="001C6AFE">
        <w:rPr>
          <w:rFonts w:ascii="Verdana" w:hAnsi="Verdana"/>
          <w:bCs/>
          <w:smallCaps/>
          <w:sz w:val="22"/>
          <w:szCs w:val="22"/>
        </w:rPr>
        <w:t xml:space="preserve"> Parte </w:t>
      </w:r>
      <w:r w:rsidR="00E05863" w:rsidRPr="001C6AFE">
        <w:rPr>
          <w:rFonts w:ascii="Verdana" w:hAnsi="Verdana"/>
          <w:bCs/>
          <w:smallCaps/>
          <w:sz w:val="22"/>
          <w:szCs w:val="22"/>
        </w:rPr>
        <w:t>Recurrente</w:t>
      </w:r>
      <w:r w:rsidR="001F25C7" w:rsidRPr="001C6AFE">
        <w:rPr>
          <w:rFonts w:ascii="Verdana" w:hAnsi="Verdana"/>
          <w:bCs/>
          <w:sz w:val="22"/>
          <w:szCs w:val="22"/>
        </w:rPr>
        <w:t xml:space="preserve"> presentó </w:t>
      </w:r>
      <w:r w:rsidR="00A70496" w:rsidRPr="001C6AFE">
        <w:rPr>
          <w:rFonts w:ascii="Verdana" w:hAnsi="Verdana"/>
          <w:bCs/>
          <w:i/>
          <w:iCs/>
          <w:sz w:val="22"/>
          <w:szCs w:val="22"/>
        </w:rPr>
        <w:t xml:space="preserve">per </w:t>
      </w:r>
      <w:proofErr w:type="spellStart"/>
      <w:r w:rsidR="00A70496" w:rsidRPr="001C6AFE">
        <w:rPr>
          <w:rFonts w:ascii="Verdana" w:hAnsi="Verdana"/>
          <w:bCs/>
          <w:i/>
          <w:iCs/>
          <w:sz w:val="22"/>
          <w:szCs w:val="22"/>
        </w:rPr>
        <w:t>saltum</w:t>
      </w:r>
      <w:proofErr w:type="spellEnd"/>
      <w:r w:rsidR="00A70496" w:rsidRPr="001C6AFE">
        <w:rPr>
          <w:rFonts w:ascii="Verdana" w:hAnsi="Verdana"/>
          <w:bCs/>
          <w:sz w:val="22"/>
          <w:szCs w:val="22"/>
        </w:rPr>
        <w:t xml:space="preserve"> </w:t>
      </w:r>
      <w:r w:rsidR="001F25C7" w:rsidRPr="001C6AFE">
        <w:rPr>
          <w:rFonts w:ascii="Verdana" w:hAnsi="Verdana"/>
          <w:bCs/>
          <w:sz w:val="22"/>
          <w:szCs w:val="22"/>
        </w:rPr>
        <w:t>Juicio de Revisión Constitucional en Materia Electoral, dirigido a la Sala Superior del Tribunal Electoral del Poder Judicial de la Federación (</w:t>
      </w:r>
      <w:r w:rsidR="001F25C7" w:rsidRPr="001C6AFE">
        <w:rPr>
          <w:rFonts w:ascii="Verdana" w:hAnsi="Verdana"/>
          <w:bCs/>
          <w:smallCaps/>
          <w:sz w:val="22"/>
          <w:szCs w:val="22"/>
        </w:rPr>
        <w:t>Sala Superior</w:t>
      </w:r>
      <w:r w:rsidR="001F25C7" w:rsidRPr="001C6AFE">
        <w:rPr>
          <w:rFonts w:ascii="Verdana" w:hAnsi="Verdana"/>
          <w:bCs/>
          <w:sz w:val="22"/>
          <w:szCs w:val="22"/>
        </w:rPr>
        <w:t>)</w:t>
      </w:r>
      <w:r w:rsidR="00A23B24" w:rsidRPr="001C6AFE">
        <w:rPr>
          <w:rFonts w:ascii="Verdana" w:hAnsi="Verdana"/>
          <w:bCs/>
          <w:sz w:val="22"/>
          <w:szCs w:val="22"/>
        </w:rPr>
        <w:t xml:space="preserve">, </w:t>
      </w:r>
      <w:r w:rsidR="00A23B24" w:rsidRPr="001C6AFE">
        <w:rPr>
          <w:rFonts w:ascii="Verdana" w:eastAsia="Arial" w:hAnsi="Verdana" w:cs="Arial"/>
          <w:bCs/>
          <w:color w:val="000000"/>
          <w:sz w:val="22"/>
          <w:szCs w:val="22"/>
          <w:lang w:val="es-MX"/>
        </w:rPr>
        <w:t xml:space="preserve">en contra del </w:t>
      </w:r>
      <w:r w:rsidR="007466BA">
        <w:rPr>
          <w:rFonts w:ascii="Verdana" w:eastAsia="Arial" w:hAnsi="Verdana" w:cs="Arial"/>
          <w:bCs/>
          <w:color w:val="000000"/>
          <w:sz w:val="22"/>
          <w:szCs w:val="22"/>
          <w:lang w:val="es-MX"/>
        </w:rPr>
        <w:t>A</w:t>
      </w:r>
      <w:r w:rsidR="00A23B24" w:rsidRPr="001C6AFE">
        <w:rPr>
          <w:rFonts w:ascii="Verdana" w:eastAsia="Arial" w:hAnsi="Verdana" w:cs="Arial"/>
          <w:bCs/>
          <w:color w:val="000000"/>
          <w:sz w:val="22"/>
          <w:szCs w:val="22"/>
          <w:lang w:val="es-MX"/>
        </w:rPr>
        <w:t>cuerdo precisado en el numeral anterior</w:t>
      </w:r>
      <w:r w:rsidR="00A23B24" w:rsidRPr="001C6AFE">
        <w:rPr>
          <w:rFonts w:ascii="Verdana" w:eastAsia="Arial" w:hAnsi="Verdana" w:cs="Arial"/>
          <w:color w:val="000000"/>
          <w:sz w:val="22"/>
          <w:szCs w:val="22"/>
        </w:rPr>
        <w:t xml:space="preserve">, al considerar que la </w:t>
      </w:r>
      <w:r w:rsidR="00A23B24" w:rsidRPr="001C6AFE">
        <w:rPr>
          <w:rFonts w:ascii="Verdana" w:eastAsia="Arial" w:hAnsi="Verdana" w:cs="Arial"/>
          <w:smallCaps/>
          <w:color w:val="000000"/>
          <w:sz w:val="22"/>
          <w:szCs w:val="22"/>
        </w:rPr>
        <w:t>Autoridad Responsable</w:t>
      </w:r>
      <w:r w:rsidR="00CB101A" w:rsidRPr="001C6AFE">
        <w:rPr>
          <w:rFonts w:ascii="Verdana" w:eastAsia="Arial" w:hAnsi="Verdana" w:cs="Arial"/>
          <w:color w:val="000000"/>
          <w:sz w:val="22"/>
          <w:szCs w:val="22"/>
        </w:rPr>
        <w:t xml:space="preserve"> </w:t>
      </w:r>
      <w:r w:rsidR="00CB101A" w:rsidRPr="001C6AFE">
        <w:rPr>
          <w:rFonts w:ascii="Verdana" w:hAnsi="Verdana" w:cs="Arial"/>
          <w:bCs/>
          <w:sz w:val="22"/>
          <w:szCs w:val="22"/>
        </w:rPr>
        <w:t>debió inaplicar los artículos 33, fracción V, y 35, primer párrafo, del</w:t>
      </w:r>
      <w:r w:rsidR="00287076">
        <w:rPr>
          <w:rFonts w:ascii="Verdana" w:hAnsi="Verdana" w:cs="Arial"/>
          <w:bCs/>
          <w:sz w:val="22"/>
          <w:szCs w:val="22"/>
        </w:rPr>
        <w:t xml:space="preserve"> Código Electoral del Estado de Aguascalientes</w:t>
      </w:r>
      <w:r w:rsidR="00CB101A" w:rsidRPr="001C6AFE">
        <w:rPr>
          <w:rFonts w:ascii="Verdana" w:hAnsi="Verdana" w:cs="Arial"/>
          <w:bCs/>
          <w:sz w:val="22"/>
          <w:szCs w:val="22"/>
        </w:rPr>
        <w:t xml:space="preserve"> </w:t>
      </w:r>
      <w:r w:rsidR="00287076">
        <w:rPr>
          <w:rFonts w:ascii="Verdana" w:hAnsi="Verdana" w:cs="Arial"/>
          <w:bCs/>
          <w:sz w:val="22"/>
          <w:szCs w:val="22"/>
        </w:rPr>
        <w:t>(</w:t>
      </w:r>
      <w:r w:rsidR="00CB101A" w:rsidRPr="001C6AFE">
        <w:rPr>
          <w:rFonts w:ascii="Verdana" w:hAnsi="Verdana" w:cs="Arial"/>
          <w:bCs/>
          <w:smallCaps/>
          <w:sz w:val="22"/>
          <w:szCs w:val="22"/>
        </w:rPr>
        <w:t>Código Electoral</w:t>
      </w:r>
      <w:r w:rsidR="00287076">
        <w:rPr>
          <w:rFonts w:ascii="Verdana" w:hAnsi="Verdana" w:cs="Arial"/>
          <w:bCs/>
          <w:smallCaps/>
          <w:sz w:val="22"/>
          <w:szCs w:val="22"/>
        </w:rPr>
        <w:t>)</w:t>
      </w:r>
      <w:r w:rsidR="00CB101A" w:rsidRPr="001C6AFE">
        <w:rPr>
          <w:rFonts w:ascii="Verdana" w:hAnsi="Verdana" w:cs="Arial"/>
          <w:bCs/>
          <w:sz w:val="22"/>
          <w:szCs w:val="22"/>
        </w:rPr>
        <w:t xml:space="preserve">, para distribuir equitativamente el financiamiento público, considerando para tal efecto, el porcentaje de votos obtenido por el partido político Movimiento Ciudadano en la elección inmediata anterior, es decir, la de Gubernatura del Estado, llevada a cabo el seis de junio de dos mil veintidós, garantizando la representatividad efectiva del partido en ese momento. </w:t>
      </w:r>
    </w:p>
    <w:p w14:paraId="57F20E41" w14:textId="149838C2" w:rsidR="00352DBF" w:rsidRPr="001C6AFE" w:rsidRDefault="001C6AFE" w:rsidP="00176970">
      <w:pPr>
        <w:spacing w:line="360" w:lineRule="auto"/>
        <w:jc w:val="both"/>
        <w:rPr>
          <w:rFonts w:ascii="Verdana" w:eastAsia="Arial" w:hAnsi="Verdana" w:cs="Arial"/>
          <w:b/>
          <w:color w:val="000000"/>
          <w:sz w:val="22"/>
          <w:szCs w:val="22"/>
        </w:rPr>
      </w:pPr>
      <w:r>
        <w:rPr>
          <w:rFonts w:ascii="Verdana" w:eastAsia="Arial" w:hAnsi="Verdana" w:cs="Arial"/>
          <w:b/>
          <w:bCs/>
          <w:color w:val="000000"/>
          <w:sz w:val="22"/>
          <w:szCs w:val="22"/>
        </w:rPr>
        <w:t>I.</w:t>
      </w:r>
      <w:r w:rsidR="00E26D4D" w:rsidRPr="00E26D4D">
        <w:rPr>
          <w:rFonts w:ascii="Verdana" w:eastAsia="Arial" w:hAnsi="Verdana" w:cs="Arial"/>
          <w:b/>
          <w:bCs/>
          <w:color w:val="000000"/>
          <w:sz w:val="22"/>
          <w:szCs w:val="22"/>
        </w:rPr>
        <w:t xml:space="preserve">11 </w:t>
      </w:r>
      <w:r w:rsidR="00352DBF">
        <w:rPr>
          <w:rFonts w:ascii="Verdana" w:eastAsia="Arial" w:hAnsi="Verdana" w:cs="Arial"/>
          <w:b/>
          <w:color w:val="000000"/>
          <w:sz w:val="22"/>
          <w:szCs w:val="22"/>
        </w:rPr>
        <w:t xml:space="preserve">Escrito de Tercerías Interesadas. </w:t>
      </w:r>
      <w:r w:rsidR="00352DBF">
        <w:rPr>
          <w:rFonts w:ascii="Verdana" w:eastAsia="Arial" w:hAnsi="Verdana" w:cs="Arial"/>
          <w:bCs/>
          <w:color w:val="000000"/>
          <w:sz w:val="22"/>
          <w:szCs w:val="22"/>
        </w:rPr>
        <w:t xml:space="preserve">El veinte de enero, se presentaron ante la Oficialía de Partes de la </w:t>
      </w:r>
      <w:r w:rsidR="00352DBF">
        <w:rPr>
          <w:rFonts w:ascii="Verdana" w:eastAsia="Arial" w:hAnsi="Verdana" w:cs="Arial"/>
          <w:smallCaps/>
          <w:color w:val="000000"/>
          <w:sz w:val="22"/>
          <w:szCs w:val="22"/>
        </w:rPr>
        <w:t>Autoridad Responsable</w:t>
      </w:r>
      <w:r w:rsidR="00352DBF">
        <w:rPr>
          <w:rFonts w:ascii="Verdana" w:eastAsia="Arial" w:hAnsi="Verdana" w:cs="Arial"/>
          <w:bCs/>
          <w:color w:val="000000"/>
          <w:sz w:val="22"/>
          <w:szCs w:val="22"/>
        </w:rPr>
        <w:t xml:space="preserve"> escritos de Tercerías Interesadas, a través de las representaciones d</w:t>
      </w:r>
      <w:r w:rsidR="00352DBF">
        <w:rPr>
          <w:rFonts w:ascii="Verdana" w:hAnsi="Verdana" w:cs="Arial"/>
          <w:sz w:val="22"/>
          <w:szCs w:val="22"/>
        </w:rPr>
        <w:t xml:space="preserve">e los partidos políticos Acción Nacional y Revolucionario Institucional, ante </w:t>
      </w:r>
      <w:r w:rsidR="007466BA">
        <w:rPr>
          <w:rFonts w:ascii="Verdana" w:eastAsia="Arial" w:hAnsi="Verdana"/>
          <w:sz w:val="22"/>
          <w:szCs w:val="22"/>
        </w:rPr>
        <w:t xml:space="preserve">la </w:t>
      </w:r>
      <w:r w:rsidR="007466BA">
        <w:rPr>
          <w:rFonts w:ascii="Verdana" w:hAnsi="Verdana"/>
          <w:bCs/>
          <w:smallCaps/>
          <w:sz w:val="22"/>
          <w:szCs w:val="22"/>
        </w:rPr>
        <w:t>Autoridad Responsable</w:t>
      </w:r>
      <w:r w:rsidR="00352DBF">
        <w:rPr>
          <w:rFonts w:ascii="Verdana" w:hAnsi="Verdana" w:cs="Arial"/>
          <w:sz w:val="22"/>
          <w:szCs w:val="22"/>
        </w:rPr>
        <w:t>,</w:t>
      </w:r>
      <w:r w:rsidR="004E7AF6">
        <w:rPr>
          <w:rFonts w:ascii="Verdana" w:hAnsi="Verdana" w:cs="Arial"/>
          <w:sz w:val="22"/>
          <w:szCs w:val="22"/>
        </w:rPr>
        <w:t xml:space="preserve"> </w:t>
      </w:r>
      <w:r w:rsidR="00352DBF" w:rsidRPr="00986A83">
        <w:rPr>
          <w:rFonts w:ascii="Verdana" w:hAnsi="Verdana" w:cs="Arial"/>
          <w:sz w:val="22"/>
          <w:szCs w:val="22"/>
        </w:rPr>
        <w:t>quienes tienen debidamente acreditada su personalidad por así</w:t>
      </w:r>
      <w:r w:rsidR="007466BA">
        <w:rPr>
          <w:rFonts w:ascii="Verdana" w:hAnsi="Verdana" w:cs="Arial"/>
          <w:sz w:val="22"/>
          <w:szCs w:val="22"/>
        </w:rPr>
        <w:t xml:space="preserve"> haberlo</w:t>
      </w:r>
      <w:r w:rsidR="00352DBF" w:rsidRPr="00986A83">
        <w:rPr>
          <w:rFonts w:ascii="Verdana" w:hAnsi="Verdana" w:cs="Arial"/>
          <w:sz w:val="22"/>
          <w:szCs w:val="22"/>
        </w:rPr>
        <w:t xml:space="preserve"> señala</w:t>
      </w:r>
      <w:r w:rsidR="007466BA">
        <w:rPr>
          <w:rFonts w:ascii="Verdana" w:hAnsi="Verdana" w:cs="Arial"/>
          <w:sz w:val="22"/>
          <w:szCs w:val="22"/>
        </w:rPr>
        <w:t>do</w:t>
      </w:r>
      <w:r w:rsidR="00986A83">
        <w:rPr>
          <w:rFonts w:ascii="Verdana" w:hAnsi="Verdana" w:cs="Arial"/>
          <w:sz w:val="22"/>
          <w:szCs w:val="22"/>
        </w:rPr>
        <w:t>.</w:t>
      </w:r>
      <w:r w:rsidR="00176970">
        <w:rPr>
          <w:rStyle w:val="Refdenotaalpie"/>
          <w:rFonts w:ascii="Verdana" w:hAnsi="Verdana" w:cs="Arial"/>
          <w:sz w:val="22"/>
          <w:szCs w:val="22"/>
        </w:rPr>
        <w:footnoteReference w:id="3"/>
      </w:r>
    </w:p>
    <w:p w14:paraId="7C19C8DF" w14:textId="77777777" w:rsidR="00352DBF" w:rsidRDefault="00352DBF" w:rsidP="00352DBF">
      <w:pPr>
        <w:spacing w:line="360" w:lineRule="auto"/>
        <w:jc w:val="both"/>
        <w:rPr>
          <w:rFonts w:ascii="Verdana" w:hAnsi="Verdana" w:cs="Arial"/>
          <w:sz w:val="22"/>
          <w:szCs w:val="22"/>
        </w:rPr>
      </w:pPr>
      <w:r>
        <w:rPr>
          <w:rFonts w:ascii="Verdana" w:hAnsi="Verdana" w:cs="Arial"/>
          <w:sz w:val="22"/>
          <w:szCs w:val="22"/>
        </w:rPr>
        <w:lastRenderedPageBreak/>
        <w:t xml:space="preserve">Al respecto, las representaciones presentaron su escrito dentro del término de setenta y dos horas previsto en el artículo 311, fracción III, del </w:t>
      </w:r>
      <w:r>
        <w:rPr>
          <w:rFonts w:ascii="Verdana" w:hAnsi="Verdana" w:cs="Arial"/>
          <w:smallCaps/>
          <w:sz w:val="22"/>
          <w:szCs w:val="22"/>
        </w:rPr>
        <w:t>Código Electoral</w:t>
      </w:r>
      <w:r>
        <w:rPr>
          <w:rFonts w:ascii="Verdana" w:hAnsi="Verdana" w:cs="Arial"/>
          <w:sz w:val="22"/>
          <w:szCs w:val="22"/>
        </w:rPr>
        <w:t>, conteniendo su nombre y firma, así como las alegaciones correspondientes.</w:t>
      </w:r>
    </w:p>
    <w:p w14:paraId="7A3852E3" w14:textId="15178130" w:rsidR="00A70496" w:rsidRPr="001C6AFE" w:rsidRDefault="001C6AFE" w:rsidP="00772668">
      <w:pPr>
        <w:spacing w:line="360" w:lineRule="auto"/>
        <w:jc w:val="both"/>
        <w:rPr>
          <w:rFonts w:ascii="Verdana" w:hAnsi="Verdana"/>
          <w:b/>
          <w:sz w:val="22"/>
          <w:szCs w:val="22"/>
        </w:rPr>
      </w:pPr>
      <w:r>
        <w:rPr>
          <w:rFonts w:ascii="Verdana" w:hAnsi="Verdana"/>
          <w:b/>
          <w:sz w:val="22"/>
          <w:szCs w:val="22"/>
        </w:rPr>
        <w:t>I.</w:t>
      </w:r>
      <w:r w:rsidR="00F75116" w:rsidRPr="00F75116">
        <w:rPr>
          <w:rFonts w:ascii="Verdana" w:hAnsi="Verdana"/>
          <w:b/>
          <w:sz w:val="22"/>
          <w:szCs w:val="22"/>
        </w:rPr>
        <w:t>1</w:t>
      </w:r>
      <w:r w:rsidR="00176970">
        <w:rPr>
          <w:rFonts w:ascii="Verdana" w:hAnsi="Verdana"/>
          <w:b/>
          <w:sz w:val="22"/>
          <w:szCs w:val="22"/>
        </w:rPr>
        <w:t>2</w:t>
      </w:r>
      <w:r w:rsidR="00F75116" w:rsidRPr="00F75116">
        <w:rPr>
          <w:rFonts w:ascii="Verdana" w:hAnsi="Verdana"/>
          <w:b/>
          <w:sz w:val="22"/>
          <w:szCs w:val="22"/>
        </w:rPr>
        <w:t xml:space="preserve"> Acuerdo Plenario de Reencauzamiento.</w:t>
      </w:r>
      <w:r>
        <w:rPr>
          <w:rFonts w:ascii="Verdana" w:hAnsi="Verdana"/>
          <w:b/>
          <w:sz w:val="22"/>
          <w:szCs w:val="22"/>
        </w:rPr>
        <w:t xml:space="preserve"> </w:t>
      </w:r>
      <w:r w:rsidR="00A70496">
        <w:rPr>
          <w:rFonts w:ascii="Verdana" w:hAnsi="Verdana"/>
          <w:bCs/>
          <w:sz w:val="22"/>
          <w:szCs w:val="22"/>
        </w:rPr>
        <w:t xml:space="preserve">Mediante Acuerdo Plenario </w:t>
      </w:r>
      <w:r w:rsidR="00540C22">
        <w:rPr>
          <w:rFonts w:ascii="Verdana" w:hAnsi="Verdana"/>
          <w:bCs/>
          <w:sz w:val="22"/>
          <w:szCs w:val="22"/>
        </w:rPr>
        <w:t>de Reencauzamiento dictado el tres de febrero</w:t>
      </w:r>
      <w:r w:rsidR="007466BA">
        <w:rPr>
          <w:rFonts w:ascii="Verdana" w:hAnsi="Verdana"/>
          <w:bCs/>
          <w:sz w:val="22"/>
          <w:szCs w:val="22"/>
        </w:rPr>
        <w:t xml:space="preserve"> en el Juicio de Revisión Constitucional Electoral identificado con la clave SM-JRC-2/2023</w:t>
      </w:r>
      <w:r w:rsidR="00540C22">
        <w:rPr>
          <w:rFonts w:ascii="Verdana" w:hAnsi="Verdana"/>
          <w:bCs/>
          <w:sz w:val="22"/>
          <w:szCs w:val="22"/>
        </w:rPr>
        <w:t>, la Sala Regional del Tribunal Electoral del Poder Judicial de la Federación, correspondiente a la Segunda Circunscripción Electoral Plurinominal (</w:t>
      </w:r>
      <w:r w:rsidR="00540C22" w:rsidRPr="00540C22">
        <w:rPr>
          <w:rFonts w:ascii="Verdana" w:hAnsi="Verdana"/>
          <w:bCs/>
          <w:smallCaps/>
          <w:sz w:val="22"/>
          <w:szCs w:val="22"/>
        </w:rPr>
        <w:t>Sala Monterrey</w:t>
      </w:r>
      <w:r w:rsidR="00540C22">
        <w:rPr>
          <w:rFonts w:ascii="Verdana" w:hAnsi="Verdana"/>
          <w:bCs/>
          <w:sz w:val="22"/>
          <w:szCs w:val="22"/>
        </w:rPr>
        <w:t xml:space="preserve">), reencauzó a este </w:t>
      </w:r>
      <w:r w:rsidR="00986A83" w:rsidRPr="00986A83">
        <w:rPr>
          <w:rFonts w:ascii="Verdana" w:hAnsi="Verdana"/>
          <w:bCs/>
          <w:smallCaps/>
          <w:sz w:val="22"/>
          <w:szCs w:val="22"/>
        </w:rPr>
        <w:t>Tribunal</w:t>
      </w:r>
      <w:r w:rsidR="00540C22">
        <w:rPr>
          <w:rFonts w:ascii="Verdana" w:hAnsi="Verdana"/>
          <w:bCs/>
          <w:sz w:val="22"/>
          <w:szCs w:val="22"/>
        </w:rPr>
        <w:t xml:space="preserve"> el medio de impugnación. </w:t>
      </w:r>
    </w:p>
    <w:p w14:paraId="03D54F0D" w14:textId="08BE9745" w:rsidR="00015B05" w:rsidRPr="001C6AFE" w:rsidRDefault="001C6AFE" w:rsidP="001C6AFE">
      <w:pPr>
        <w:spacing w:line="360" w:lineRule="auto"/>
        <w:jc w:val="both"/>
        <w:rPr>
          <w:rFonts w:ascii="Verdana" w:eastAsia="Arial" w:hAnsi="Verdana" w:cs="Arial"/>
          <w:b/>
          <w:bCs/>
          <w:color w:val="000000"/>
          <w:sz w:val="22"/>
          <w:szCs w:val="22"/>
        </w:rPr>
      </w:pPr>
      <w:r>
        <w:rPr>
          <w:rFonts w:ascii="Verdana" w:hAnsi="Verdana"/>
          <w:b/>
          <w:sz w:val="22"/>
          <w:szCs w:val="22"/>
        </w:rPr>
        <w:t>I.</w:t>
      </w:r>
      <w:r w:rsidR="005C1EBE" w:rsidRPr="005C1EBE">
        <w:rPr>
          <w:rFonts w:ascii="Verdana" w:hAnsi="Verdana"/>
          <w:b/>
          <w:sz w:val="22"/>
          <w:szCs w:val="22"/>
        </w:rPr>
        <w:t>1</w:t>
      </w:r>
      <w:r w:rsidR="00176970">
        <w:rPr>
          <w:rFonts w:ascii="Verdana" w:hAnsi="Verdana"/>
          <w:b/>
          <w:sz w:val="22"/>
          <w:szCs w:val="22"/>
        </w:rPr>
        <w:t>3</w:t>
      </w:r>
      <w:r w:rsidR="005C1EBE" w:rsidRPr="005C1EBE">
        <w:rPr>
          <w:rFonts w:ascii="Verdana" w:hAnsi="Verdana"/>
          <w:b/>
          <w:sz w:val="22"/>
          <w:szCs w:val="22"/>
        </w:rPr>
        <w:t xml:space="preserve"> </w:t>
      </w:r>
      <w:r w:rsidR="007466BA">
        <w:rPr>
          <w:rFonts w:ascii="Verdana" w:hAnsi="Verdana"/>
          <w:b/>
          <w:sz w:val="22"/>
          <w:szCs w:val="22"/>
        </w:rPr>
        <w:t>Sentencia</w:t>
      </w:r>
      <w:r w:rsidR="005C1EBE" w:rsidRPr="005C1EBE">
        <w:rPr>
          <w:rFonts w:ascii="Verdana" w:hAnsi="Verdana"/>
          <w:b/>
          <w:sz w:val="22"/>
          <w:szCs w:val="22"/>
        </w:rPr>
        <w:t xml:space="preserve"> dictada por el </w:t>
      </w:r>
      <w:r w:rsidR="005C1EBE" w:rsidRPr="005C1EBE">
        <w:rPr>
          <w:rFonts w:ascii="Verdana" w:hAnsi="Verdana"/>
          <w:b/>
          <w:smallCaps/>
          <w:sz w:val="22"/>
          <w:szCs w:val="22"/>
        </w:rPr>
        <w:t>Tribunal</w:t>
      </w:r>
      <w:r w:rsidR="005C1EBE" w:rsidRPr="005C1EBE">
        <w:rPr>
          <w:rFonts w:ascii="Verdana" w:hAnsi="Verdana"/>
          <w:b/>
          <w:sz w:val="22"/>
          <w:szCs w:val="22"/>
        </w:rPr>
        <w:t xml:space="preserve"> en el</w:t>
      </w:r>
      <w:r w:rsidR="005C1EBE">
        <w:rPr>
          <w:rFonts w:ascii="Verdana" w:hAnsi="Verdana"/>
          <w:bCs/>
          <w:sz w:val="22"/>
          <w:szCs w:val="22"/>
        </w:rPr>
        <w:t xml:space="preserve"> </w:t>
      </w:r>
      <w:r w:rsidR="005C1EBE">
        <w:rPr>
          <w:rFonts w:ascii="Verdana" w:eastAsia="Arial" w:hAnsi="Verdana" w:cs="Arial"/>
          <w:b/>
          <w:bCs/>
          <w:color w:val="000000"/>
          <w:sz w:val="22"/>
          <w:szCs w:val="22"/>
        </w:rPr>
        <w:t>TEEA-RAP-001/2023.</w:t>
      </w:r>
      <w:r>
        <w:rPr>
          <w:rFonts w:ascii="Verdana" w:eastAsia="Arial" w:hAnsi="Verdana" w:cs="Arial"/>
          <w:b/>
          <w:bCs/>
          <w:color w:val="000000"/>
          <w:sz w:val="22"/>
          <w:szCs w:val="22"/>
        </w:rPr>
        <w:t xml:space="preserve"> </w:t>
      </w:r>
      <w:r w:rsidR="005C1EBE">
        <w:rPr>
          <w:rFonts w:ascii="Verdana" w:eastAsia="Arial" w:hAnsi="Verdana" w:cs="Arial"/>
          <w:color w:val="000000"/>
          <w:sz w:val="22"/>
          <w:szCs w:val="22"/>
        </w:rPr>
        <w:t xml:space="preserve">El siete de febrero, </w:t>
      </w:r>
      <w:r w:rsidR="00015B05">
        <w:rPr>
          <w:rFonts w:ascii="Verdana" w:eastAsia="Arial" w:hAnsi="Verdana" w:cs="Arial"/>
          <w:color w:val="000000"/>
          <w:sz w:val="22"/>
          <w:szCs w:val="22"/>
        </w:rPr>
        <w:t xml:space="preserve">este órgano jurisdiccional dictó </w:t>
      </w:r>
      <w:r w:rsidR="007466BA">
        <w:rPr>
          <w:rFonts w:ascii="Verdana" w:eastAsia="Arial" w:hAnsi="Verdana" w:cs="Arial"/>
          <w:color w:val="000000"/>
          <w:sz w:val="22"/>
          <w:szCs w:val="22"/>
        </w:rPr>
        <w:t>Sentencia</w:t>
      </w:r>
      <w:r w:rsidR="00015B05">
        <w:rPr>
          <w:rFonts w:ascii="Verdana" w:eastAsia="Arial" w:hAnsi="Verdana" w:cs="Arial"/>
          <w:color w:val="000000"/>
          <w:sz w:val="22"/>
          <w:szCs w:val="22"/>
        </w:rPr>
        <w:t xml:space="preserve"> en el Recurso de Apelación identificado con la clave </w:t>
      </w:r>
      <w:r w:rsidR="00015B05" w:rsidRPr="00015B05">
        <w:rPr>
          <w:rFonts w:ascii="Verdana" w:eastAsia="Arial" w:hAnsi="Verdana" w:cs="Arial"/>
          <w:color w:val="000000"/>
          <w:sz w:val="22"/>
          <w:szCs w:val="22"/>
        </w:rPr>
        <w:t>TEEA-RAP-001/2023</w:t>
      </w:r>
      <w:r w:rsidR="00015B05">
        <w:rPr>
          <w:rFonts w:ascii="Verdana" w:hAnsi="Verdana" w:cs="Arial"/>
          <w:bCs/>
          <w:sz w:val="22"/>
          <w:szCs w:val="22"/>
        </w:rPr>
        <w:t>, cuyo punto resolutivo fue</w:t>
      </w:r>
      <w:r w:rsidR="007466BA">
        <w:rPr>
          <w:rFonts w:ascii="Verdana" w:hAnsi="Verdana" w:cs="Arial"/>
          <w:bCs/>
          <w:sz w:val="22"/>
          <w:szCs w:val="22"/>
        </w:rPr>
        <w:t xml:space="preserve"> el</w:t>
      </w:r>
      <w:r w:rsidR="00015B05">
        <w:rPr>
          <w:rFonts w:ascii="Verdana" w:hAnsi="Verdana" w:cs="Arial"/>
          <w:bCs/>
          <w:sz w:val="22"/>
          <w:szCs w:val="22"/>
        </w:rPr>
        <w:t xml:space="preserve"> siguiente:</w:t>
      </w:r>
      <w:r w:rsidR="00015B05">
        <w:rPr>
          <w:rStyle w:val="Refdenotaalpie"/>
          <w:rFonts w:ascii="Verdana" w:hAnsi="Verdana" w:cs="Arial"/>
          <w:bCs/>
          <w:sz w:val="22"/>
          <w:szCs w:val="22"/>
        </w:rPr>
        <w:footnoteReference w:id="4"/>
      </w:r>
    </w:p>
    <w:p w14:paraId="0D5F8E1B" w14:textId="479FB12C" w:rsidR="00015B05" w:rsidRPr="007466BA" w:rsidRDefault="00015B05" w:rsidP="007466BA">
      <w:pPr>
        <w:spacing w:before="100" w:beforeAutospacing="1" w:after="100" w:afterAutospacing="1"/>
        <w:ind w:left="567" w:right="567"/>
        <w:jc w:val="both"/>
        <w:rPr>
          <w:rFonts w:ascii="Verdana" w:hAnsi="Verdana" w:cs="Arial"/>
          <w:i/>
          <w:iCs/>
          <w:sz w:val="22"/>
          <w:szCs w:val="22"/>
        </w:rPr>
      </w:pPr>
      <w:r>
        <w:rPr>
          <w:rFonts w:ascii="Verdana" w:hAnsi="Verdana" w:cs="Arial"/>
          <w:b/>
          <w:bCs/>
          <w:sz w:val="22"/>
          <w:szCs w:val="22"/>
        </w:rPr>
        <w:t>“</w:t>
      </w:r>
      <w:r>
        <w:rPr>
          <w:rFonts w:ascii="Verdana" w:hAnsi="Verdana" w:cs="Arial"/>
          <w:b/>
          <w:bCs/>
          <w:i/>
          <w:iCs/>
          <w:sz w:val="22"/>
          <w:szCs w:val="22"/>
        </w:rPr>
        <w:t>ÚNICO.</w:t>
      </w:r>
      <w:r>
        <w:rPr>
          <w:rFonts w:ascii="Verdana" w:hAnsi="Verdana" w:cs="Arial"/>
          <w:b/>
          <w:i/>
          <w:iCs/>
          <w:sz w:val="22"/>
          <w:szCs w:val="22"/>
        </w:rPr>
        <w:t xml:space="preserve"> </w:t>
      </w:r>
      <w:r>
        <w:rPr>
          <w:rFonts w:ascii="Verdana" w:hAnsi="Verdana" w:cs="Arial"/>
          <w:bCs/>
          <w:i/>
          <w:iCs/>
          <w:sz w:val="22"/>
          <w:szCs w:val="22"/>
        </w:rPr>
        <w:t xml:space="preserve">Se </w:t>
      </w:r>
      <w:r>
        <w:rPr>
          <w:rFonts w:ascii="Verdana" w:hAnsi="Verdana" w:cs="Arial"/>
          <w:b/>
          <w:bCs/>
          <w:i/>
          <w:iCs/>
          <w:sz w:val="22"/>
          <w:szCs w:val="22"/>
        </w:rPr>
        <w:t>REVOCA</w:t>
      </w:r>
      <w:r>
        <w:rPr>
          <w:rFonts w:ascii="Verdana" w:hAnsi="Verdana" w:cs="Arial"/>
          <w:bCs/>
          <w:i/>
          <w:iCs/>
          <w:sz w:val="22"/>
          <w:szCs w:val="22"/>
        </w:rPr>
        <w:t xml:space="preserve"> la resolución materia de impugnación, </w:t>
      </w:r>
      <w:r>
        <w:rPr>
          <w:rFonts w:ascii="Verdana" w:hAnsi="Verdana"/>
          <w:bCs/>
          <w:i/>
          <w:iCs/>
          <w:sz w:val="22"/>
          <w:szCs w:val="22"/>
        </w:rPr>
        <w:t>en términos de lo establecidos en el apartado de efectos</w:t>
      </w:r>
      <w:r>
        <w:rPr>
          <w:rFonts w:ascii="Verdana" w:hAnsi="Verdana" w:cs="Arial"/>
          <w:i/>
          <w:iCs/>
          <w:sz w:val="22"/>
          <w:szCs w:val="22"/>
        </w:rPr>
        <w:t>.</w:t>
      </w:r>
      <w:r>
        <w:rPr>
          <w:rFonts w:ascii="Verdana" w:hAnsi="Verdana" w:cs="Arial"/>
          <w:smallCaps/>
          <w:sz w:val="22"/>
          <w:szCs w:val="22"/>
          <w:lang w:val="es-MX"/>
        </w:rPr>
        <w:t>”</w:t>
      </w:r>
    </w:p>
    <w:p w14:paraId="0CC3AC86" w14:textId="28FF4167" w:rsidR="009C1068" w:rsidRPr="00FE32A7" w:rsidRDefault="001C6AFE" w:rsidP="009C1068">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Pr>
          <w:rFonts w:ascii="Verdana" w:eastAsia="Arial" w:hAnsi="Verdana" w:cs="Arial"/>
          <w:b/>
          <w:color w:val="000000"/>
          <w:sz w:val="22"/>
          <w:szCs w:val="22"/>
        </w:rPr>
        <w:t>I.</w:t>
      </w:r>
      <w:r w:rsidR="009401D9">
        <w:rPr>
          <w:rFonts w:ascii="Verdana" w:eastAsia="Arial" w:hAnsi="Verdana" w:cs="Arial"/>
          <w:b/>
          <w:color w:val="000000"/>
          <w:sz w:val="22"/>
          <w:szCs w:val="22"/>
        </w:rPr>
        <w:t>1</w:t>
      </w:r>
      <w:r w:rsidR="00176970">
        <w:rPr>
          <w:rFonts w:ascii="Verdana" w:eastAsia="Arial" w:hAnsi="Verdana" w:cs="Arial"/>
          <w:b/>
          <w:color w:val="000000"/>
          <w:sz w:val="22"/>
          <w:szCs w:val="22"/>
        </w:rPr>
        <w:t>4</w:t>
      </w:r>
      <w:r w:rsidR="009401D9">
        <w:rPr>
          <w:rFonts w:ascii="Verdana" w:eastAsia="Arial" w:hAnsi="Verdana" w:cs="Arial"/>
          <w:b/>
          <w:color w:val="000000"/>
          <w:sz w:val="22"/>
          <w:szCs w:val="22"/>
        </w:rPr>
        <w:t xml:space="preserve"> </w:t>
      </w:r>
      <w:r w:rsidR="009C1068" w:rsidRPr="00FE32A7">
        <w:rPr>
          <w:rFonts w:ascii="Verdana" w:eastAsia="Arial" w:hAnsi="Verdana" w:cs="Arial"/>
          <w:b/>
          <w:color w:val="000000"/>
          <w:sz w:val="22"/>
          <w:szCs w:val="22"/>
        </w:rPr>
        <w:t xml:space="preserve">Recepción </w:t>
      </w:r>
      <w:r w:rsidR="006D3DD7">
        <w:rPr>
          <w:rFonts w:ascii="Verdana" w:eastAsia="Arial" w:hAnsi="Verdana" w:cs="Arial"/>
          <w:b/>
          <w:color w:val="000000"/>
          <w:sz w:val="22"/>
          <w:szCs w:val="22"/>
        </w:rPr>
        <w:t xml:space="preserve">del medio de impugnación en el </w:t>
      </w:r>
      <w:r w:rsidR="006D3DD7" w:rsidRPr="006D3DD7">
        <w:rPr>
          <w:rFonts w:ascii="Verdana" w:eastAsia="Arial" w:hAnsi="Verdana" w:cs="Arial"/>
          <w:b/>
          <w:smallCaps/>
          <w:color w:val="000000"/>
          <w:sz w:val="22"/>
          <w:szCs w:val="22"/>
        </w:rPr>
        <w:t>Tribunal</w:t>
      </w:r>
      <w:r w:rsidR="006D3DD7">
        <w:rPr>
          <w:rFonts w:ascii="Verdana" w:eastAsia="Arial" w:hAnsi="Verdana" w:cs="Arial"/>
          <w:b/>
          <w:color w:val="000000"/>
          <w:sz w:val="22"/>
          <w:szCs w:val="22"/>
        </w:rPr>
        <w:t>.</w:t>
      </w:r>
      <w:r>
        <w:rPr>
          <w:rFonts w:ascii="Verdana" w:eastAsia="Arial" w:hAnsi="Verdana" w:cs="Arial"/>
          <w:color w:val="000000"/>
          <w:sz w:val="22"/>
          <w:szCs w:val="22"/>
        </w:rPr>
        <w:t xml:space="preserve"> </w:t>
      </w:r>
      <w:r w:rsidR="00355CE7" w:rsidRPr="00FE32A7">
        <w:rPr>
          <w:rFonts w:ascii="Verdana" w:eastAsia="Arial" w:hAnsi="Verdana" w:cs="Arial"/>
          <w:color w:val="000000"/>
          <w:sz w:val="22"/>
          <w:szCs w:val="22"/>
        </w:rPr>
        <w:t>E</w:t>
      </w:r>
      <w:r w:rsidR="005837F0" w:rsidRPr="00FE32A7">
        <w:rPr>
          <w:rFonts w:ascii="Verdana" w:eastAsia="Arial" w:hAnsi="Verdana" w:cs="Arial"/>
          <w:color w:val="000000"/>
          <w:sz w:val="22"/>
          <w:szCs w:val="22"/>
        </w:rPr>
        <w:t xml:space="preserve">l </w:t>
      </w:r>
      <w:r w:rsidR="00015B05">
        <w:rPr>
          <w:rFonts w:ascii="Verdana" w:eastAsia="Arial" w:hAnsi="Verdana" w:cs="Arial"/>
          <w:color w:val="000000"/>
          <w:sz w:val="22"/>
          <w:szCs w:val="22"/>
        </w:rPr>
        <w:t>mismo día</w:t>
      </w:r>
      <w:r w:rsidR="009C1068" w:rsidRPr="00FE32A7">
        <w:rPr>
          <w:rFonts w:ascii="Verdana" w:eastAsia="Arial" w:hAnsi="Verdana" w:cs="Arial"/>
          <w:color w:val="000000"/>
          <w:sz w:val="22"/>
          <w:szCs w:val="22"/>
        </w:rPr>
        <w:t xml:space="preserve">, </w:t>
      </w:r>
      <w:r w:rsidR="00E26D4D">
        <w:rPr>
          <w:rFonts w:ascii="Verdana" w:eastAsia="Arial" w:hAnsi="Verdana" w:cs="Arial"/>
          <w:color w:val="000000"/>
          <w:sz w:val="22"/>
          <w:szCs w:val="22"/>
        </w:rPr>
        <w:t>se recibió en</w:t>
      </w:r>
      <w:r w:rsidR="009C1068" w:rsidRPr="00FE32A7">
        <w:rPr>
          <w:rFonts w:ascii="Verdana" w:eastAsia="Arial" w:hAnsi="Verdana" w:cs="Arial"/>
          <w:color w:val="000000"/>
          <w:sz w:val="22"/>
          <w:szCs w:val="22"/>
        </w:rPr>
        <w:t xml:space="preserve"> este </w:t>
      </w:r>
      <w:r w:rsidR="009C1068" w:rsidRPr="00986A83">
        <w:rPr>
          <w:rFonts w:ascii="Verdana" w:eastAsia="Arial" w:hAnsi="Verdana" w:cs="Arial"/>
          <w:smallCaps/>
          <w:color w:val="000000"/>
          <w:sz w:val="22"/>
          <w:szCs w:val="22"/>
        </w:rPr>
        <w:t xml:space="preserve">Tribunal </w:t>
      </w:r>
      <w:r w:rsidR="009C1068" w:rsidRPr="006D3DD7">
        <w:rPr>
          <w:rFonts w:ascii="Verdana" w:eastAsia="Arial" w:hAnsi="Verdana" w:cs="Arial"/>
          <w:sz w:val="22"/>
          <w:szCs w:val="22"/>
        </w:rPr>
        <w:t xml:space="preserve">el </w:t>
      </w:r>
      <w:r w:rsidR="006D3DD7" w:rsidRPr="006D3DD7">
        <w:rPr>
          <w:rFonts w:ascii="Verdana" w:eastAsia="Arial" w:hAnsi="Verdana" w:cs="Arial"/>
          <w:sz w:val="22"/>
          <w:szCs w:val="22"/>
        </w:rPr>
        <w:t>medio de impugnación</w:t>
      </w:r>
      <w:r w:rsidR="009C1068" w:rsidRPr="006D3DD7">
        <w:rPr>
          <w:rFonts w:ascii="Verdana" w:eastAsia="Arial" w:hAnsi="Verdana" w:cs="Arial"/>
          <w:sz w:val="22"/>
          <w:szCs w:val="22"/>
        </w:rPr>
        <w:t>,</w:t>
      </w:r>
      <w:r w:rsidR="009C1068" w:rsidRPr="006D3DD7">
        <w:rPr>
          <w:rFonts w:ascii="Verdana" w:eastAsia="Arial" w:hAnsi="Verdana" w:cs="Arial"/>
          <w:color w:val="000000"/>
          <w:sz w:val="22"/>
          <w:szCs w:val="22"/>
        </w:rPr>
        <w:t xml:space="preserve"> presentado por </w:t>
      </w:r>
      <w:r w:rsidR="00B72263" w:rsidRPr="006D3DD7">
        <w:rPr>
          <w:rFonts w:ascii="Verdana" w:eastAsia="Arial" w:hAnsi="Verdana" w:cs="Arial"/>
          <w:color w:val="000000"/>
          <w:sz w:val="22"/>
          <w:szCs w:val="22"/>
        </w:rPr>
        <w:t xml:space="preserve">la </w:t>
      </w:r>
      <w:r w:rsidR="00355CE7" w:rsidRPr="006D3DD7">
        <w:rPr>
          <w:rFonts w:ascii="Verdana" w:hAnsi="Verdana"/>
          <w:smallCaps/>
          <w:sz w:val="22"/>
          <w:szCs w:val="22"/>
        </w:rPr>
        <w:t>Parte Recurrente,</w:t>
      </w:r>
      <w:r w:rsidR="006415D4" w:rsidRPr="006D3DD7">
        <w:rPr>
          <w:rFonts w:ascii="Verdana" w:eastAsia="Arial" w:hAnsi="Verdana" w:cs="Arial"/>
          <w:color w:val="000000"/>
          <w:sz w:val="22"/>
          <w:szCs w:val="22"/>
        </w:rPr>
        <w:t xml:space="preserve"> </w:t>
      </w:r>
      <w:r w:rsidR="009C1068" w:rsidRPr="006D3DD7">
        <w:rPr>
          <w:rFonts w:ascii="Verdana" w:eastAsia="Arial" w:hAnsi="Verdana" w:cs="Arial"/>
          <w:color w:val="000000"/>
          <w:sz w:val="22"/>
          <w:szCs w:val="22"/>
        </w:rPr>
        <w:t xml:space="preserve">así como </w:t>
      </w:r>
      <w:r w:rsidR="00176970">
        <w:rPr>
          <w:rFonts w:ascii="Verdana" w:eastAsia="Arial" w:hAnsi="Verdana" w:cs="Arial"/>
          <w:color w:val="000000"/>
          <w:sz w:val="22"/>
          <w:szCs w:val="22"/>
        </w:rPr>
        <w:t>las constancias respectivas</w:t>
      </w:r>
      <w:r w:rsidR="009C1068" w:rsidRPr="006D3DD7">
        <w:rPr>
          <w:rFonts w:ascii="Verdana" w:eastAsia="Arial" w:hAnsi="Verdana" w:cs="Arial"/>
          <w:color w:val="000000"/>
          <w:sz w:val="22"/>
          <w:szCs w:val="22"/>
        </w:rPr>
        <w:t>.</w:t>
      </w:r>
      <w:r w:rsidR="009C1068" w:rsidRPr="00FE32A7">
        <w:rPr>
          <w:rFonts w:ascii="Verdana" w:eastAsia="Arial" w:hAnsi="Verdana" w:cs="Arial"/>
          <w:color w:val="000000"/>
          <w:sz w:val="22"/>
          <w:szCs w:val="22"/>
        </w:rPr>
        <w:t xml:space="preserve"> </w:t>
      </w:r>
    </w:p>
    <w:p w14:paraId="60316B67" w14:textId="463BEA72" w:rsidR="00CA302F" w:rsidRDefault="001C6AFE" w:rsidP="005612E3">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Pr>
          <w:rFonts w:ascii="Verdana" w:eastAsia="Arial" w:hAnsi="Verdana" w:cs="Arial"/>
          <w:b/>
          <w:bCs/>
          <w:color w:val="000000"/>
          <w:sz w:val="22"/>
          <w:szCs w:val="22"/>
        </w:rPr>
        <w:t>I.</w:t>
      </w:r>
      <w:r w:rsidR="006D3DD7" w:rsidRPr="006D3DD7">
        <w:rPr>
          <w:rFonts w:ascii="Verdana" w:eastAsia="Arial" w:hAnsi="Verdana" w:cs="Arial"/>
          <w:b/>
          <w:bCs/>
          <w:color w:val="000000"/>
          <w:sz w:val="22"/>
          <w:szCs w:val="22"/>
        </w:rPr>
        <w:t>1</w:t>
      </w:r>
      <w:r w:rsidR="00176970">
        <w:rPr>
          <w:rFonts w:ascii="Verdana" w:eastAsia="Arial" w:hAnsi="Verdana" w:cs="Arial"/>
          <w:b/>
          <w:bCs/>
          <w:color w:val="000000"/>
          <w:sz w:val="22"/>
          <w:szCs w:val="22"/>
        </w:rPr>
        <w:t>5</w:t>
      </w:r>
      <w:r w:rsidR="006D3DD7">
        <w:rPr>
          <w:rFonts w:ascii="Verdana" w:eastAsia="Arial" w:hAnsi="Verdana" w:cs="Arial"/>
          <w:color w:val="000000"/>
          <w:sz w:val="22"/>
          <w:szCs w:val="22"/>
        </w:rPr>
        <w:t xml:space="preserve"> </w:t>
      </w:r>
      <w:r w:rsidR="006D3DD7">
        <w:rPr>
          <w:rFonts w:ascii="Verdana" w:eastAsia="Arial" w:hAnsi="Verdana" w:cs="Arial"/>
          <w:b/>
          <w:color w:val="000000"/>
          <w:sz w:val="22"/>
          <w:szCs w:val="22"/>
        </w:rPr>
        <w:t>Turno y reencauzamiento de vía</w:t>
      </w:r>
      <w:r w:rsidR="006D3DD7" w:rsidRPr="006D3DD7">
        <w:rPr>
          <w:rFonts w:ascii="Verdana" w:eastAsia="Arial" w:hAnsi="Verdana" w:cs="Arial"/>
          <w:b/>
          <w:color w:val="000000"/>
          <w:sz w:val="22"/>
          <w:szCs w:val="22"/>
        </w:rPr>
        <w:t xml:space="preserve"> </w:t>
      </w:r>
      <w:r w:rsidR="006D3DD7" w:rsidRPr="00FE32A7">
        <w:rPr>
          <w:rFonts w:ascii="Verdana" w:eastAsia="Arial" w:hAnsi="Verdana" w:cs="Arial"/>
          <w:b/>
          <w:color w:val="000000"/>
          <w:sz w:val="22"/>
          <w:szCs w:val="22"/>
        </w:rPr>
        <w:t>del Recurso de Apelación (TEEA-RAP-00</w:t>
      </w:r>
      <w:r w:rsidR="006D3DD7">
        <w:rPr>
          <w:rFonts w:ascii="Verdana" w:eastAsia="Arial" w:hAnsi="Verdana" w:cs="Arial"/>
          <w:b/>
          <w:color w:val="000000"/>
          <w:sz w:val="22"/>
          <w:szCs w:val="22"/>
        </w:rPr>
        <w:t>2</w:t>
      </w:r>
      <w:r w:rsidR="006D3DD7" w:rsidRPr="00FE32A7">
        <w:rPr>
          <w:rFonts w:ascii="Verdana" w:eastAsia="Arial" w:hAnsi="Verdana" w:cs="Arial"/>
          <w:b/>
          <w:color w:val="000000"/>
          <w:sz w:val="22"/>
          <w:szCs w:val="22"/>
        </w:rPr>
        <w:t>/2023).</w:t>
      </w:r>
      <w:r>
        <w:rPr>
          <w:rFonts w:ascii="Verdana" w:eastAsia="Arial" w:hAnsi="Verdana" w:cs="Arial"/>
          <w:color w:val="000000"/>
          <w:sz w:val="22"/>
          <w:szCs w:val="22"/>
        </w:rPr>
        <w:t xml:space="preserve"> </w:t>
      </w:r>
      <w:r w:rsidR="00F75116">
        <w:rPr>
          <w:rFonts w:ascii="Verdana" w:eastAsia="Arial" w:hAnsi="Verdana" w:cs="Arial"/>
          <w:color w:val="000000"/>
          <w:sz w:val="22"/>
          <w:szCs w:val="22"/>
        </w:rPr>
        <w:t>El ocho de febrero</w:t>
      </w:r>
      <w:r w:rsidR="009C1068" w:rsidRPr="00FE32A7">
        <w:rPr>
          <w:rFonts w:ascii="Verdana" w:eastAsia="Arial" w:hAnsi="Verdana" w:cs="Arial"/>
          <w:color w:val="000000"/>
          <w:sz w:val="22"/>
          <w:szCs w:val="22"/>
        </w:rPr>
        <w:t xml:space="preserve"> se </w:t>
      </w:r>
      <w:r w:rsidR="00E26D4D">
        <w:rPr>
          <w:rFonts w:ascii="Verdana" w:eastAsia="Arial" w:hAnsi="Verdana" w:cs="Arial"/>
          <w:color w:val="000000"/>
          <w:sz w:val="22"/>
          <w:szCs w:val="22"/>
        </w:rPr>
        <w:t xml:space="preserve">reencauzó el medio de impugnación </w:t>
      </w:r>
      <w:r w:rsidR="00E26D4D" w:rsidRPr="00FE32A7">
        <w:rPr>
          <w:rFonts w:ascii="Verdana" w:eastAsia="Arial" w:hAnsi="Verdana" w:cs="Arial"/>
          <w:color w:val="000000"/>
          <w:sz w:val="22"/>
          <w:szCs w:val="22"/>
        </w:rPr>
        <w:t xml:space="preserve">en cuestión </w:t>
      </w:r>
      <w:r w:rsidR="00E26D4D">
        <w:rPr>
          <w:rFonts w:ascii="Verdana" w:eastAsia="Arial" w:hAnsi="Verdana" w:cs="Arial"/>
          <w:color w:val="000000"/>
          <w:sz w:val="22"/>
          <w:szCs w:val="22"/>
        </w:rPr>
        <w:t xml:space="preserve">como Recurso de Apelación y se </w:t>
      </w:r>
      <w:r w:rsidR="009C1068" w:rsidRPr="00FE32A7">
        <w:rPr>
          <w:rFonts w:ascii="Verdana" w:eastAsia="Arial" w:hAnsi="Verdana" w:cs="Arial"/>
          <w:color w:val="000000"/>
          <w:sz w:val="22"/>
          <w:szCs w:val="22"/>
        </w:rPr>
        <w:t xml:space="preserve">turnó a la Ponencia </w:t>
      </w:r>
      <w:r w:rsidR="00015B05">
        <w:rPr>
          <w:rFonts w:ascii="Verdana" w:eastAsia="Arial" w:hAnsi="Verdana" w:cs="Arial"/>
          <w:color w:val="000000"/>
          <w:sz w:val="22"/>
          <w:szCs w:val="22"/>
        </w:rPr>
        <w:t xml:space="preserve">a cargo del Magistrade en funciones, Jesús </w:t>
      </w:r>
      <w:proofErr w:type="spellStart"/>
      <w:r w:rsidR="00015B05">
        <w:rPr>
          <w:rFonts w:ascii="Verdana" w:eastAsia="Arial" w:hAnsi="Verdana" w:cs="Arial"/>
          <w:color w:val="000000"/>
          <w:sz w:val="22"/>
          <w:szCs w:val="22"/>
        </w:rPr>
        <w:t>Ociel</w:t>
      </w:r>
      <w:proofErr w:type="spellEnd"/>
      <w:r w:rsidR="00015B05">
        <w:rPr>
          <w:rFonts w:ascii="Verdana" w:eastAsia="Arial" w:hAnsi="Verdana" w:cs="Arial"/>
          <w:color w:val="000000"/>
          <w:sz w:val="22"/>
          <w:szCs w:val="22"/>
        </w:rPr>
        <w:t xml:space="preserve"> Baena Saucedo.</w:t>
      </w:r>
    </w:p>
    <w:p w14:paraId="5F9AF4B7" w14:textId="5E794E0F" w:rsidR="008352B6" w:rsidRPr="001C6AFE" w:rsidRDefault="001C6AFE" w:rsidP="005612E3">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
          <w:bCs/>
          <w:color w:val="000000"/>
          <w:sz w:val="22"/>
          <w:szCs w:val="22"/>
        </w:rPr>
      </w:pPr>
      <w:r>
        <w:rPr>
          <w:rFonts w:ascii="Verdana" w:eastAsia="Arial" w:hAnsi="Verdana" w:cs="Arial"/>
          <w:b/>
          <w:bCs/>
          <w:color w:val="000000"/>
          <w:sz w:val="22"/>
          <w:szCs w:val="22"/>
        </w:rPr>
        <w:t>I.</w:t>
      </w:r>
      <w:r w:rsidR="008352B6" w:rsidRPr="008352B6">
        <w:rPr>
          <w:rFonts w:ascii="Verdana" w:eastAsia="Arial" w:hAnsi="Verdana" w:cs="Arial"/>
          <w:b/>
          <w:bCs/>
          <w:color w:val="000000"/>
          <w:sz w:val="22"/>
          <w:szCs w:val="22"/>
        </w:rPr>
        <w:t>1</w:t>
      </w:r>
      <w:r w:rsidR="00176970">
        <w:rPr>
          <w:rFonts w:ascii="Verdana" w:eastAsia="Arial" w:hAnsi="Verdana" w:cs="Arial"/>
          <w:b/>
          <w:bCs/>
          <w:color w:val="000000"/>
          <w:sz w:val="22"/>
          <w:szCs w:val="22"/>
        </w:rPr>
        <w:t>6</w:t>
      </w:r>
      <w:r w:rsidR="008352B6" w:rsidRPr="008352B6">
        <w:rPr>
          <w:rFonts w:ascii="Verdana" w:eastAsia="Arial" w:hAnsi="Verdana" w:cs="Arial"/>
          <w:b/>
          <w:bCs/>
          <w:color w:val="000000"/>
          <w:sz w:val="22"/>
          <w:szCs w:val="22"/>
        </w:rPr>
        <w:t xml:space="preserve"> Radicación</w:t>
      </w:r>
      <w:r>
        <w:rPr>
          <w:rFonts w:ascii="Verdana" w:eastAsia="Arial" w:hAnsi="Verdana" w:cs="Arial"/>
          <w:b/>
          <w:bCs/>
          <w:color w:val="000000"/>
          <w:sz w:val="22"/>
          <w:szCs w:val="22"/>
        </w:rPr>
        <w:t xml:space="preserve"> en Ponencia</w:t>
      </w:r>
      <w:r w:rsidR="008352B6" w:rsidRPr="008352B6">
        <w:rPr>
          <w:rFonts w:ascii="Verdana" w:eastAsia="Arial" w:hAnsi="Verdana" w:cs="Arial"/>
          <w:b/>
          <w:bCs/>
          <w:color w:val="000000"/>
          <w:sz w:val="22"/>
          <w:szCs w:val="22"/>
        </w:rPr>
        <w:t xml:space="preserve">. </w:t>
      </w:r>
      <w:r w:rsidR="008352B6">
        <w:rPr>
          <w:rFonts w:ascii="Verdana" w:eastAsia="Arial" w:hAnsi="Verdana" w:cs="Arial"/>
          <w:color w:val="000000"/>
          <w:sz w:val="22"/>
          <w:szCs w:val="22"/>
        </w:rPr>
        <w:t xml:space="preserve">El nueve de febrero se radicó el Recurso de Apelación en la ponencia </w:t>
      </w:r>
      <w:r w:rsidR="00015B05" w:rsidRPr="00FE32A7">
        <w:rPr>
          <w:rFonts w:ascii="Verdana" w:eastAsia="Arial" w:hAnsi="Verdana" w:cs="Arial"/>
          <w:color w:val="000000"/>
          <w:sz w:val="22"/>
          <w:szCs w:val="22"/>
        </w:rPr>
        <w:t xml:space="preserve">de la Magistratura </w:t>
      </w:r>
      <w:r w:rsidR="00015B05">
        <w:rPr>
          <w:rFonts w:ascii="Verdana" w:eastAsia="Arial" w:hAnsi="Verdana" w:cs="Arial"/>
          <w:color w:val="000000"/>
          <w:sz w:val="22"/>
          <w:szCs w:val="22"/>
        </w:rPr>
        <w:t>Ponente.</w:t>
      </w:r>
    </w:p>
    <w:p w14:paraId="5EDABBD8" w14:textId="1C1B302D" w:rsidR="008352B6" w:rsidRPr="001C6AFE" w:rsidRDefault="001C6AFE" w:rsidP="005612E3">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
          <w:bCs/>
          <w:color w:val="000000"/>
          <w:sz w:val="22"/>
          <w:szCs w:val="22"/>
        </w:rPr>
      </w:pPr>
      <w:r>
        <w:rPr>
          <w:rFonts w:ascii="Verdana" w:eastAsia="Arial" w:hAnsi="Verdana" w:cs="Arial"/>
          <w:b/>
          <w:bCs/>
          <w:color w:val="000000"/>
          <w:sz w:val="22"/>
          <w:szCs w:val="22"/>
        </w:rPr>
        <w:t>I.</w:t>
      </w:r>
      <w:r w:rsidR="008352B6" w:rsidRPr="008352B6">
        <w:rPr>
          <w:rFonts w:ascii="Verdana" w:eastAsia="Arial" w:hAnsi="Verdana" w:cs="Arial"/>
          <w:b/>
          <w:bCs/>
          <w:color w:val="000000"/>
          <w:sz w:val="22"/>
          <w:szCs w:val="22"/>
        </w:rPr>
        <w:t>1</w:t>
      </w:r>
      <w:r w:rsidR="00176970">
        <w:rPr>
          <w:rFonts w:ascii="Verdana" w:eastAsia="Arial" w:hAnsi="Verdana" w:cs="Arial"/>
          <w:b/>
          <w:bCs/>
          <w:color w:val="000000"/>
          <w:sz w:val="22"/>
          <w:szCs w:val="22"/>
        </w:rPr>
        <w:t>7</w:t>
      </w:r>
      <w:r w:rsidR="008352B6" w:rsidRPr="008352B6">
        <w:rPr>
          <w:rFonts w:ascii="Verdana" w:eastAsia="Arial" w:hAnsi="Verdana" w:cs="Arial"/>
          <w:b/>
          <w:bCs/>
          <w:color w:val="000000"/>
          <w:sz w:val="22"/>
          <w:szCs w:val="22"/>
        </w:rPr>
        <w:t xml:space="preserve"> Admisión. </w:t>
      </w:r>
      <w:r w:rsidR="008352B6">
        <w:rPr>
          <w:rFonts w:ascii="Verdana" w:eastAsia="Arial" w:hAnsi="Verdana" w:cs="Arial"/>
          <w:color w:val="000000"/>
          <w:sz w:val="22"/>
          <w:szCs w:val="22"/>
        </w:rPr>
        <w:t xml:space="preserve">El catorce de febrero, la Magistratura instructora, admitió el presente medio de impugnación. </w:t>
      </w:r>
    </w:p>
    <w:p w14:paraId="3AAA0AFA" w14:textId="1921C26C" w:rsidR="008352B6" w:rsidRDefault="001C6AFE" w:rsidP="00E06779">
      <w:pPr>
        <w:pBdr>
          <w:top w:val="nil"/>
          <w:left w:val="nil"/>
          <w:bottom w:val="nil"/>
          <w:right w:val="nil"/>
          <w:between w:val="nil"/>
        </w:pBdr>
        <w:tabs>
          <w:tab w:val="left" w:pos="426"/>
        </w:tabs>
        <w:spacing w:before="100" w:beforeAutospacing="1" w:after="100" w:afterAutospacing="1" w:line="360" w:lineRule="auto"/>
        <w:jc w:val="both"/>
        <w:rPr>
          <w:rFonts w:ascii="Verdana" w:hAnsi="Verdana" w:cs="Arial"/>
          <w:bCs/>
          <w:sz w:val="22"/>
          <w:szCs w:val="22"/>
        </w:rPr>
      </w:pPr>
      <w:r>
        <w:rPr>
          <w:rFonts w:ascii="Verdana" w:eastAsia="Arial" w:hAnsi="Verdana" w:cs="Arial"/>
          <w:b/>
          <w:bCs/>
          <w:color w:val="000000"/>
          <w:sz w:val="22"/>
          <w:szCs w:val="22"/>
        </w:rPr>
        <w:t>I.</w:t>
      </w:r>
      <w:r w:rsidR="009C1068" w:rsidRPr="00FE32A7">
        <w:rPr>
          <w:rFonts w:ascii="Verdana" w:eastAsia="Arial" w:hAnsi="Verdana" w:cs="Arial"/>
          <w:b/>
          <w:bCs/>
          <w:color w:val="000000"/>
          <w:sz w:val="22"/>
          <w:szCs w:val="22"/>
        </w:rPr>
        <w:t>1</w:t>
      </w:r>
      <w:r w:rsidR="00176970">
        <w:rPr>
          <w:rFonts w:ascii="Verdana" w:eastAsia="Arial" w:hAnsi="Verdana" w:cs="Arial"/>
          <w:b/>
          <w:bCs/>
          <w:color w:val="000000"/>
          <w:sz w:val="22"/>
          <w:szCs w:val="22"/>
        </w:rPr>
        <w:t>8</w:t>
      </w:r>
      <w:r w:rsidR="009C1068" w:rsidRPr="00FE32A7">
        <w:rPr>
          <w:rFonts w:ascii="Verdana" w:eastAsia="Arial" w:hAnsi="Verdana" w:cs="Arial"/>
          <w:b/>
          <w:bCs/>
          <w:color w:val="000000"/>
          <w:sz w:val="22"/>
          <w:szCs w:val="22"/>
        </w:rPr>
        <w:t xml:space="preserve"> </w:t>
      </w:r>
      <w:r w:rsidR="008352B6">
        <w:rPr>
          <w:rFonts w:ascii="Verdana" w:hAnsi="Verdana" w:cs="Arial"/>
          <w:bCs/>
          <w:sz w:val="22"/>
          <w:szCs w:val="22"/>
        </w:rPr>
        <w:t xml:space="preserve">El veinte de febrero, </w:t>
      </w:r>
      <w:r w:rsidR="007466BA">
        <w:rPr>
          <w:rFonts w:ascii="Verdana" w:eastAsia="Arial" w:hAnsi="Verdana"/>
          <w:sz w:val="22"/>
          <w:szCs w:val="22"/>
        </w:rPr>
        <w:t xml:space="preserve">la </w:t>
      </w:r>
      <w:r w:rsidR="007466BA">
        <w:rPr>
          <w:rFonts w:ascii="Verdana" w:hAnsi="Verdana"/>
          <w:bCs/>
          <w:smallCaps/>
          <w:sz w:val="22"/>
          <w:szCs w:val="22"/>
        </w:rPr>
        <w:t>Autoridad Responsable</w:t>
      </w:r>
      <w:r w:rsidR="008352B6">
        <w:rPr>
          <w:rFonts w:ascii="Verdana" w:hAnsi="Verdana" w:cs="Arial"/>
          <w:bCs/>
          <w:sz w:val="22"/>
          <w:szCs w:val="22"/>
        </w:rPr>
        <w:t xml:space="preserve"> emitió el Acuerdo </w:t>
      </w:r>
      <w:r w:rsidR="00A10A8E">
        <w:rPr>
          <w:rFonts w:ascii="Verdana" w:hAnsi="Verdana" w:cs="Arial"/>
          <w:bCs/>
          <w:sz w:val="22"/>
          <w:szCs w:val="22"/>
        </w:rPr>
        <w:t xml:space="preserve">identificado con la clave CG-A-06/23, </w:t>
      </w:r>
      <w:r w:rsidR="008352B6">
        <w:rPr>
          <w:rFonts w:ascii="Verdana" w:hAnsi="Verdana" w:cs="Arial"/>
          <w:bCs/>
          <w:sz w:val="22"/>
          <w:szCs w:val="22"/>
        </w:rPr>
        <w:t xml:space="preserve">mediante el cual aprueba la distribución del financiamiento público estatal a los partidos políticos, para su gasto ordinario y actividades específicas correspondiente al ejercicio fiscal del año dos mil veintitrés, y se establecen los montos de </w:t>
      </w:r>
      <w:r w:rsidR="008352B6">
        <w:rPr>
          <w:rFonts w:ascii="Verdana" w:hAnsi="Verdana" w:cs="Arial"/>
          <w:bCs/>
          <w:sz w:val="22"/>
          <w:szCs w:val="22"/>
        </w:rPr>
        <w:lastRenderedPageBreak/>
        <w:t xml:space="preserve">los límites a las aportaciones de financiamiento privado de los partidos políticos, </w:t>
      </w:r>
      <w:r w:rsidR="008352B6" w:rsidRPr="008352B6">
        <w:rPr>
          <w:rFonts w:ascii="Verdana" w:hAnsi="Verdana" w:cs="Arial"/>
          <w:b/>
          <w:sz w:val="22"/>
          <w:szCs w:val="22"/>
          <w:u w:val="single"/>
        </w:rPr>
        <w:t xml:space="preserve">en cumplimiento a la </w:t>
      </w:r>
      <w:r w:rsidR="007466BA">
        <w:rPr>
          <w:rFonts w:ascii="Verdana" w:hAnsi="Verdana" w:cs="Arial"/>
          <w:b/>
          <w:sz w:val="22"/>
          <w:szCs w:val="22"/>
          <w:u w:val="single"/>
        </w:rPr>
        <w:t>Sentencia</w:t>
      </w:r>
      <w:r w:rsidR="008352B6" w:rsidRPr="008352B6">
        <w:rPr>
          <w:rFonts w:ascii="Verdana" w:hAnsi="Verdana" w:cs="Arial"/>
          <w:b/>
          <w:sz w:val="22"/>
          <w:szCs w:val="22"/>
          <w:u w:val="single"/>
        </w:rPr>
        <w:t xml:space="preserve"> emitida por este </w:t>
      </w:r>
      <w:r w:rsidR="008352B6" w:rsidRPr="008352B6">
        <w:rPr>
          <w:rFonts w:ascii="Verdana" w:hAnsi="Verdana" w:cs="Arial"/>
          <w:b/>
          <w:smallCaps/>
          <w:sz w:val="22"/>
          <w:szCs w:val="22"/>
          <w:u w:val="single"/>
        </w:rPr>
        <w:t>Tribunal</w:t>
      </w:r>
      <w:r w:rsidR="008352B6" w:rsidRPr="008352B6">
        <w:rPr>
          <w:rFonts w:ascii="Verdana" w:hAnsi="Verdana" w:cs="Arial"/>
          <w:b/>
          <w:sz w:val="22"/>
          <w:szCs w:val="22"/>
          <w:u w:val="single"/>
        </w:rPr>
        <w:t>, dentro del expediente TEEA-RAP-001/2023</w:t>
      </w:r>
      <w:r w:rsidR="008352B6">
        <w:rPr>
          <w:rFonts w:ascii="Verdana" w:hAnsi="Verdana" w:cs="Arial"/>
          <w:bCs/>
          <w:sz w:val="22"/>
          <w:szCs w:val="22"/>
        </w:rPr>
        <w:t>.</w:t>
      </w:r>
      <w:r w:rsidR="00176970">
        <w:rPr>
          <w:rStyle w:val="Refdenotaalpie"/>
          <w:rFonts w:ascii="Verdana" w:hAnsi="Verdana" w:cs="Arial"/>
          <w:bCs/>
          <w:sz w:val="22"/>
          <w:szCs w:val="22"/>
        </w:rPr>
        <w:footnoteReference w:id="5"/>
      </w:r>
    </w:p>
    <w:p w14:paraId="7FDCD567" w14:textId="1B330111" w:rsidR="00B53B74" w:rsidRDefault="001C6AFE" w:rsidP="008352B6">
      <w:pPr>
        <w:widowControl w:val="0"/>
        <w:spacing w:before="100" w:beforeAutospacing="1" w:after="100" w:afterAutospacing="1" w:line="360" w:lineRule="auto"/>
        <w:jc w:val="both"/>
        <w:rPr>
          <w:rFonts w:ascii="Verdana" w:hAnsi="Verdana" w:cs="Arial"/>
          <w:bCs/>
          <w:sz w:val="22"/>
          <w:szCs w:val="22"/>
        </w:rPr>
      </w:pPr>
      <w:r>
        <w:rPr>
          <w:rFonts w:ascii="Verdana" w:hAnsi="Verdana" w:cs="Arial"/>
          <w:b/>
          <w:sz w:val="22"/>
          <w:szCs w:val="22"/>
        </w:rPr>
        <w:t>I.</w:t>
      </w:r>
      <w:r w:rsidR="00176970">
        <w:rPr>
          <w:rFonts w:ascii="Verdana" w:hAnsi="Verdana" w:cs="Arial"/>
          <w:b/>
          <w:sz w:val="22"/>
          <w:szCs w:val="22"/>
        </w:rPr>
        <w:t>19</w:t>
      </w:r>
      <w:r w:rsidR="008352B6">
        <w:rPr>
          <w:rFonts w:ascii="Verdana" w:hAnsi="Verdana" w:cs="Arial"/>
          <w:bCs/>
          <w:sz w:val="22"/>
          <w:szCs w:val="22"/>
        </w:rPr>
        <w:t xml:space="preserve"> </w:t>
      </w:r>
      <w:r w:rsidR="00B53B74" w:rsidRPr="003178D9">
        <w:rPr>
          <w:rFonts w:ascii="Verdana" w:hAnsi="Verdana" w:cs="Arial"/>
          <w:bCs/>
          <w:sz w:val="22"/>
          <w:szCs w:val="22"/>
        </w:rPr>
        <w:t xml:space="preserve">El </w:t>
      </w:r>
      <w:r w:rsidR="00333F28">
        <w:rPr>
          <w:rFonts w:ascii="Verdana" w:hAnsi="Verdana" w:cs="Arial"/>
          <w:bCs/>
          <w:sz w:val="22"/>
          <w:szCs w:val="22"/>
        </w:rPr>
        <w:t>veintidós</w:t>
      </w:r>
      <w:r w:rsidR="00B53B74" w:rsidRPr="003178D9">
        <w:rPr>
          <w:rFonts w:ascii="Verdana" w:hAnsi="Verdana" w:cs="Arial"/>
          <w:bCs/>
          <w:sz w:val="22"/>
          <w:szCs w:val="22"/>
        </w:rPr>
        <w:t xml:space="preserve"> de febrero, el Pleno de este </w:t>
      </w:r>
      <w:r w:rsidR="00B53B74" w:rsidRPr="003178D9">
        <w:rPr>
          <w:rFonts w:ascii="Verdana" w:hAnsi="Verdana" w:cs="Arial"/>
          <w:bCs/>
          <w:smallCaps/>
          <w:sz w:val="22"/>
          <w:szCs w:val="22"/>
        </w:rPr>
        <w:t>Tribunal</w:t>
      </w:r>
      <w:r w:rsidR="00B53B74" w:rsidRPr="003178D9">
        <w:rPr>
          <w:rFonts w:ascii="Verdana" w:hAnsi="Verdana" w:cs="Arial"/>
          <w:bCs/>
          <w:sz w:val="22"/>
          <w:szCs w:val="22"/>
        </w:rPr>
        <w:t xml:space="preserve"> dictó Acuerdo Plenario de Cumplimiento de </w:t>
      </w:r>
      <w:r w:rsidR="007466BA">
        <w:rPr>
          <w:rFonts w:ascii="Verdana" w:hAnsi="Verdana" w:cs="Arial"/>
          <w:bCs/>
          <w:sz w:val="22"/>
          <w:szCs w:val="22"/>
        </w:rPr>
        <w:t>Sentencia</w:t>
      </w:r>
      <w:r w:rsidR="00B53B74">
        <w:rPr>
          <w:rFonts w:ascii="Verdana" w:hAnsi="Verdana" w:cs="Arial"/>
          <w:bCs/>
          <w:sz w:val="22"/>
          <w:szCs w:val="22"/>
        </w:rPr>
        <w:t>, dentro del expediente TEEA-RAP-001/2023.</w:t>
      </w:r>
      <w:r w:rsidR="00176970">
        <w:rPr>
          <w:rStyle w:val="Refdenotaalpie"/>
          <w:rFonts w:ascii="Verdana" w:hAnsi="Verdana" w:cs="Arial"/>
          <w:bCs/>
          <w:sz w:val="22"/>
          <w:szCs w:val="22"/>
        </w:rPr>
        <w:footnoteReference w:id="6"/>
      </w:r>
    </w:p>
    <w:p w14:paraId="39F2DF54" w14:textId="215E8B94" w:rsidR="00E06779" w:rsidRDefault="001C6AFE" w:rsidP="00E06779">
      <w:pPr>
        <w:widowControl w:val="0"/>
        <w:spacing w:before="100" w:beforeAutospacing="1" w:after="100" w:afterAutospacing="1" w:line="360" w:lineRule="auto"/>
        <w:jc w:val="both"/>
        <w:rPr>
          <w:rFonts w:ascii="Verdana" w:hAnsi="Verdana" w:cs="Arial"/>
          <w:bCs/>
          <w:sz w:val="22"/>
          <w:szCs w:val="22"/>
        </w:rPr>
      </w:pPr>
      <w:r>
        <w:rPr>
          <w:rFonts w:ascii="Verdana" w:hAnsi="Verdana" w:cs="Arial"/>
          <w:b/>
          <w:sz w:val="22"/>
          <w:szCs w:val="22"/>
        </w:rPr>
        <w:t>I.</w:t>
      </w:r>
      <w:r w:rsidR="00B53B74" w:rsidRPr="00B53B74">
        <w:rPr>
          <w:rFonts w:ascii="Verdana" w:hAnsi="Verdana" w:cs="Arial"/>
          <w:b/>
          <w:sz w:val="22"/>
          <w:szCs w:val="22"/>
        </w:rPr>
        <w:t>2</w:t>
      </w:r>
      <w:r w:rsidR="00176970">
        <w:rPr>
          <w:rFonts w:ascii="Verdana" w:hAnsi="Verdana" w:cs="Arial"/>
          <w:b/>
          <w:sz w:val="22"/>
          <w:szCs w:val="22"/>
        </w:rPr>
        <w:t>0</w:t>
      </w:r>
      <w:r w:rsidR="00B53B74" w:rsidRPr="00B53B74">
        <w:rPr>
          <w:rFonts w:ascii="Verdana" w:hAnsi="Verdana" w:cs="Arial"/>
          <w:b/>
          <w:sz w:val="22"/>
          <w:szCs w:val="22"/>
        </w:rPr>
        <w:t xml:space="preserve"> </w:t>
      </w:r>
      <w:r w:rsidR="008352B6">
        <w:rPr>
          <w:rFonts w:ascii="Verdana" w:hAnsi="Verdana" w:cs="Arial"/>
          <w:b/>
          <w:sz w:val="22"/>
          <w:szCs w:val="22"/>
        </w:rPr>
        <w:t>C</w:t>
      </w:r>
      <w:r w:rsidR="00E06779" w:rsidRPr="00FE32A7">
        <w:rPr>
          <w:rFonts w:ascii="Verdana" w:hAnsi="Verdana" w:cs="Arial"/>
          <w:b/>
          <w:sz w:val="22"/>
          <w:szCs w:val="22"/>
        </w:rPr>
        <w:t>ierre de instrucción</w:t>
      </w:r>
      <w:r w:rsidR="00AE1CA6" w:rsidRPr="00FE32A7">
        <w:rPr>
          <w:rFonts w:ascii="Verdana" w:hAnsi="Verdana" w:cs="Arial"/>
          <w:b/>
          <w:sz w:val="22"/>
          <w:szCs w:val="22"/>
        </w:rPr>
        <w:t>.</w:t>
      </w:r>
      <w:r w:rsidR="00E06779" w:rsidRPr="00FE32A7">
        <w:rPr>
          <w:rFonts w:ascii="Verdana" w:hAnsi="Verdana" w:cs="Arial"/>
          <w:b/>
          <w:sz w:val="22"/>
          <w:szCs w:val="22"/>
        </w:rPr>
        <w:t xml:space="preserve"> </w:t>
      </w:r>
      <w:r w:rsidR="00E06779" w:rsidRPr="00FE32A7">
        <w:rPr>
          <w:rFonts w:ascii="Verdana" w:hAnsi="Verdana" w:cs="Arial"/>
          <w:bCs/>
          <w:sz w:val="22"/>
          <w:szCs w:val="22"/>
        </w:rPr>
        <w:t xml:space="preserve">El </w:t>
      </w:r>
      <w:r w:rsidR="003178D9">
        <w:rPr>
          <w:rFonts w:ascii="Verdana" w:hAnsi="Verdana" w:cs="Arial"/>
          <w:bCs/>
          <w:sz w:val="22"/>
          <w:szCs w:val="22"/>
        </w:rPr>
        <w:t>veintidós</w:t>
      </w:r>
      <w:r w:rsidR="00E06779" w:rsidRPr="00FE32A7">
        <w:rPr>
          <w:rFonts w:ascii="Verdana" w:hAnsi="Verdana" w:cs="Arial"/>
          <w:bCs/>
          <w:sz w:val="22"/>
          <w:szCs w:val="22"/>
        </w:rPr>
        <w:t xml:space="preserve"> de </w:t>
      </w:r>
      <w:r w:rsidR="008352B6">
        <w:rPr>
          <w:rFonts w:ascii="Verdana" w:hAnsi="Verdana" w:cs="Arial"/>
          <w:bCs/>
          <w:sz w:val="22"/>
          <w:szCs w:val="22"/>
        </w:rPr>
        <w:t>febre</w:t>
      </w:r>
      <w:r w:rsidR="00E06779" w:rsidRPr="00FE32A7">
        <w:rPr>
          <w:rFonts w:ascii="Verdana" w:hAnsi="Verdana" w:cs="Arial"/>
          <w:bCs/>
          <w:sz w:val="22"/>
          <w:szCs w:val="22"/>
        </w:rPr>
        <w:t>ro, la Magistratura instructora, al no existir trámite pendiente por desahogar ordenó el cierre de instrucción.</w:t>
      </w:r>
    </w:p>
    <w:p w14:paraId="0C846F32" w14:textId="6FD55A85" w:rsidR="009C1068" w:rsidRPr="00FE32A7" w:rsidRDefault="00B675BC" w:rsidP="00B675BC">
      <w:pPr>
        <w:spacing w:before="100" w:beforeAutospacing="1" w:after="100" w:afterAutospacing="1" w:line="360" w:lineRule="auto"/>
        <w:jc w:val="center"/>
        <w:rPr>
          <w:rFonts w:ascii="Verdana" w:hAnsi="Verdana" w:cs="Arial"/>
          <w:sz w:val="22"/>
          <w:szCs w:val="22"/>
        </w:rPr>
      </w:pPr>
      <w:r>
        <w:rPr>
          <w:rFonts w:ascii="Verdana" w:hAnsi="Verdana"/>
          <w:b/>
          <w:sz w:val="22"/>
          <w:szCs w:val="22"/>
        </w:rPr>
        <w:t xml:space="preserve">II. </w:t>
      </w:r>
      <w:r w:rsidRPr="00FE32A7">
        <w:rPr>
          <w:rFonts w:ascii="Verdana" w:hAnsi="Verdana" w:cs="Arial"/>
          <w:b/>
          <w:sz w:val="22"/>
          <w:szCs w:val="22"/>
        </w:rPr>
        <w:t>JURISDICCIÓN Y COMPETENCIA.</w:t>
      </w:r>
    </w:p>
    <w:p w14:paraId="4FAA9AAB" w14:textId="02B90069" w:rsidR="009C1068" w:rsidRPr="00FE32A7" w:rsidRDefault="009C1068" w:rsidP="009C1068">
      <w:pPr>
        <w:spacing w:before="100" w:beforeAutospacing="1" w:after="100" w:afterAutospacing="1" w:line="360" w:lineRule="auto"/>
        <w:jc w:val="both"/>
        <w:rPr>
          <w:rFonts w:ascii="Verdana" w:hAnsi="Verdana"/>
          <w:b/>
          <w:sz w:val="22"/>
          <w:szCs w:val="22"/>
        </w:rPr>
      </w:pPr>
      <w:r w:rsidRPr="00FE32A7">
        <w:rPr>
          <w:rFonts w:ascii="Verdana" w:hAnsi="Verdana" w:cs="Arial"/>
          <w:sz w:val="22"/>
          <w:szCs w:val="22"/>
        </w:rPr>
        <w:t>E</w:t>
      </w:r>
      <w:r w:rsidR="00A53DF4" w:rsidRPr="00FE32A7">
        <w:rPr>
          <w:rFonts w:ascii="Verdana" w:hAnsi="Verdana" w:cs="Arial"/>
          <w:sz w:val="22"/>
          <w:szCs w:val="22"/>
        </w:rPr>
        <w:t>ste</w:t>
      </w:r>
      <w:r w:rsidRPr="00FE32A7">
        <w:rPr>
          <w:rFonts w:ascii="Verdana" w:hAnsi="Verdana" w:cs="Arial"/>
          <w:sz w:val="22"/>
          <w:szCs w:val="22"/>
        </w:rPr>
        <w:t xml:space="preserve"> </w:t>
      </w:r>
      <w:r w:rsidRPr="00FE32A7">
        <w:rPr>
          <w:rFonts w:ascii="Verdana" w:hAnsi="Verdana" w:cs="Arial"/>
          <w:smallCaps/>
          <w:sz w:val="22"/>
          <w:szCs w:val="22"/>
        </w:rPr>
        <w:t>Tribunal</w:t>
      </w:r>
      <w:r w:rsidRPr="00FE32A7">
        <w:rPr>
          <w:rFonts w:ascii="Verdana" w:hAnsi="Verdana" w:cs="Arial"/>
          <w:sz w:val="22"/>
          <w:szCs w:val="22"/>
        </w:rPr>
        <w:t xml:space="preserve"> tiene jurisdicción para resolver el presente medio de impugnación al establecerse como el órgano jurisdiccional especializado en materia electoral en el </w:t>
      </w:r>
      <w:r w:rsidR="007466BA">
        <w:rPr>
          <w:rFonts w:ascii="Verdana" w:hAnsi="Verdana" w:cs="Arial"/>
          <w:sz w:val="22"/>
          <w:szCs w:val="22"/>
        </w:rPr>
        <w:t>E</w:t>
      </w:r>
      <w:r w:rsidRPr="00FE32A7">
        <w:rPr>
          <w:rFonts w:ascii="Verdana" w:hAnsi="Verdana" w:cs="Arial"/>
          <w:sz w:val="22"/>
          <w:szCs w:val="22"/>
        </w:rPr>
        <w:t>stado de Aguascalientes.</w:t>
      </w:r>
      <w:r w:rsidRPr="00FE32A7">
        <w:rPr>
          <w:rStyle w:val="Refdenotaalpie"/>
          <w:rFonts w:ascii="Verdana" w:hAnsi="Verdana" w:cs="Arial"/>
          <w:sz w:val="22"/>
          <w:szCs w:val="22"/>
        </w:rPr>
        <w:footnoteReference w:id="7"/>
      </w:r>
      <w:r w:rsidRPr="00FE32A7">
        <w:rPr>
          <w:rFonts w:ascii="Verdana" w:hAnsi="Verdana" w:cs="Arial"/>
          <w:sz w:val="22"/>
          <w:szCs w:val="22"/>
        </w:rPr>
        <w:t xml:space="preserve">  </w:t>
      </w:r>
    </w:p>
    <w:p w14:paraId="5EFC733A" w14:textId="71EBC6C5" w:rsidR="009C1068" w:rsidRPr="00FE32A7" w:rsidRDefault="009C1068" w:rsidP="009C1068">
      <w:pPr>
        <w:spacing w:before="100" w:beforeAutospacing="1" w:after="100" w:afterAutospacing="1" w:line="360" w:lineRule="auto"/>
        <w:jc w:val="both"/>
        <w:rPr>
          <w:rFonts w:ascii="Verdana" w:hAnsi="Verdana" w:cs="Arial"/>
          <w:bCs/>
          <w:sz w:val="22"/>
          <w:szCs w:val="22"/>
        </w:rPr>
      </w:pPr>
      <w:r w:rsidRPr="00FE32A7">
        <w:rPr>
          <w:rFonts w:ascii="Verdana" w:hAnsi="Verdana" w:cs="Arial"/>
          <w:sz w:val="22"/>
          <w:szCs w:val="22"/>
        </w:rPr>
        <w:t xml:space="preserve">Además, por razón de materia y territorio, es competente para conocer del asunto por tratarse de un </w:t>
      </w:r>
      <w:r w:rsidR="00765B65" w:rsidRPr="00FE32A7">
        <w:rPr>
          <w:rFonts w:ascii="Verdana" w:hAnsi="Verdana" w:cs="Arial"/>
          <w:sz w:val="22"/>
          <w:szCs w:val="22"/>
        </w:rPr>
        <w:t xml:space="preserve">Recurso de Apelación interpuesto por </w:t>
      </w:r>
      <w:r w:rsidR="00590850" w:rsidRPr="00FE32A7">
        <w:rPr>
          <w:rFonts w:ascii="Verdana" w:hAnsi="Verdana" w:cs="Arial"/>
          <w:sz w:val="22"/>
          <w:szCs w:val="22"/>
        </w:rPr>
        <w:t xml:space="preserve">un partido político, </w:t>
      </w:r>
      <w:r w:rsidRPr="00FE32A7">
        <w:rPr>
          <w:rFonts w:ascii="Verdana" w:hAnsi="Verdana" w:cs="Arial"/>
          <w:sz w:val="22"/>
          <w:szCs w:val="22"/>
        </w:rPr>
        <w:t xml:space="preserve">por el cual se controvierte la determinación de la </w:t>
      </w:r>
      <w:r w:rsidRPr="00FE32A7">
        <w:rPr>
          <w:rFonts w:ascii="Verdana" w:hAnsi="Verdana" w:cs="Arial"/>
          <w:bCs/>
          <w:smallCaps/>
          <w:sz w:val="22"/>
          <w:szCs w:val="22"/>
        </w:rPr>
        <w:t>Autoridad Responsable</w:t>
      </w:r>
      <w:r w:rsidRPr="00FE32A7">
        <w:rPr>
          <w:rFonts w:ascii="Verdana" w:hAnsi="Verdana" w:cs="Arial"/>
          <w:bCs/>
          <w:sz w:val="22"/>
          <w:szCs w:val="22"/>
        </w:rPr>
        <w:t xml:space="preserve">, en la que </w:t>
      </w:r>
      <w:r w:rsidR="00590850" w:rsidRPr="00FE32A7">
        <w:rPr>
          <w:rFonts w:ascii="Verdana" w:hAnsi="Verdana"/>
          <w:bCs/>
          <w:sz w:val="22"/>
          <w:szCs w:val="22"/>
        </w:rPr>
        <w:t>aprobó la distribución del financiamiento público estatal a los partidos políticos, para su gasto ordinario y actividades específicas correspondiente al ejercicio fiscal del año dos mil veintitrés; y se establec</w:t>
      </w:r>
      <w:r w:rsidR="00F72FA7" w:rsidRPr="00FE32A7">
        <w:rPr>
          <w:rFonts w:ascii="Verdana" w:hAnsi="Verdana"/>
          <w:bCs/>
          <w:sz w:val="22"/>
          <w:szCs w:val="22"/>
        </w:rPr>
        <w:t>ieron</w:t>
      </w:r>
      <w:r w:rsidR="00590850" w:rsidRPr="00FE32A7">
        <w:rPr>
          <w:rFonts w:ascii="Verdana" w:hAnsi="Verdana"/>
          <w:bCs/>
          <w:sz w:val="22"/>
          <w:szCs w:val="22"/>
        </w:rPr>
        <w:t xml:space="preserve"> los montos de los límites a las aportaciones de financiamiento privado de los partidos políticos.</w:t>
      </w:r>
      <w:r w:rsidRPr="00FE32A7">
        <w:rPr>
          <w:rStyle w:val="Refdenotaalpie"/>
          <w:rFonts w:ascii="Verdana" w:hAnsi="Verdana" w:cs="Arial"/>
          <w:sz w:val="22"/>
          <w:szCs w:val="22"/>
        </w:rPr>
        <w:footnoteReference w:id="8"/>
      </w:r>
    </w:p>
    <w:p w14:paraId="51B82CB4" w14:textId="7CFF4BC3" w:rsidR="009C1068" w:rsidRPr="00FD4FE8" w:rsidRDefault="00B675BC" w:rsidP="00B675BC">
      <w:pPr>
        <w:spacing w:before="100" w:beforeAutospacing="1" w:after="100" w:afterAutospacing="1" w:line="360" w:lineRule="auto"/>
        <w:jc w:val="center"/>
        <w:rPr>
          <w:rFonts w:ascii="Verdana" w:hAnsi="Verdana" w:cs="Arial"/>
          <w:bCs/>
          <w:sz w:val="22"/>
          <w:szCs w:val="22"/>
        </w:rPr>
      </w:pPr>
      <w:r>
        <w:rPr>
          <w:rFonts w:ascii="Verdana" w:hAnsi="Verdana" w:cs="Arial"/>
          <w:b/>
          <w:sz w:val="22"/>
          <w:szCs w:val="22"/>
        </w:rPr>
        <w:t>III</w:t>
      </w:r>
      <w:r w:rsidRPr="00FD4FE8">
        <w:rPr>
          <w:rFonts w:ascii="Verdana" w:hAnsi="Verdana" w:cs="Arial"/>
          <w:b/>
          <w:sz w:val="22"/>
          <w:szCs w:val="22"/>
        </w:rPr>
        <w:t>. SOBRESEIMIENTO.</w:t>
      </w:r>
    </w:p>
    <w:p w14:paraId="2DB3F7EB" w14:textId="77777777" w:rsidR="00287076" w:rsidRPr="00287076" w:rsidRDefault="00287076" w:rsidP="009C1068">
      <w:pPr>
        <w:spacing w:before="100" w:beforeAutospacing="1" w:after="100" w:afterAutospacing="1" w:line="360" w:lineRule="auto"/>
        <w:jc w:val="both"/>
        <w:rPr>
          <w:rFonts w:ascii="Verdana" w:hAnsi="Verdana" w:cs="Arial"/>
          <w:b/>
          <w:sz w:val="22"/>
          <w:szCs w:val="22"/>
        </w:rPr>
      </w:pPr>
      <w:r w:rsidRPr="00287076">
        <w:rPr>
          <w:rFonts w:ascii="Verdana" w:hAnsi="Verdana" w:cs="Arial"/>
          <w:b/>
          <w:sz w:val="22"/>
          <w:szCs w:val="22"/>
        </w:rPr>
        <w:t>Determinación</w:t>
      </w:r>
    </w:p>
    <w:p w14:paraId="72BF3901" w14:textId="77777777" w:rsidR="00287076" w:rsidRDefault="00F67B03"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Este </w:t>
      </w:r>
      <w:r w:rsidRPr="00E23F4C">
        <w:rPr>
          <w:rFonts w:ascii="Verdana" w:hAnsi="Verdana" w:cs="Arial"/>
          <w:bCs/>
          <w:smallCaps/>
          <w:sz w:val="22"/>
          <w:szCs w:val="22"/>
        </w:rPr>
        <w:t>Tribunal</w:t>
      </w:r>
      <w:r>
        <w:rPr>
          <w:rFonts w:ascii="Verdana" w:hAnsi="Verdana" w:cs="Arial"/>
          <w:bCs/>
          <w:sz w:val="22"/>
          <w:szCs w:val="22"/>
        </w:rPr>
        <w:t xml:space="preserve"> considera que el presente recurso debe sobreseerse, </w:t>
      </w:r>
      <w:r w:rsidR="00287076">
        <w:rPr>
          <w:rFonts w:ascii="Verdana" w:hAnsi="Verdana" w:cs="Arial"/>
          <w:bCs/>
          <w:sz w:val="22"/>
          <w:szCs w:val="22"/>
        </w:rPr>
        <w:t>pues la controversia ha quedado sin materia, según se expone a continuación.</w:t>
      </w:r>
    </w:p>
    <w:p w14:paraId="61485D68" w14:textId="30344CA1" w:rsidR="00287076" w:rsidRPr="00287076" w:rsidRDefault="00287076" w:rsidP="009C1068">
      <w:pPr>
        <w:spacing w:before="100" w:beforeAutospacing="1" w:after="100" w:afterAutospacing="1" w:line="360" w:lineRule="auto"/>
        <w:jc w:val="both"/>
        <w:rPr>
          <w:rFonts w:ascii="Verdana" w:hAnsi="Verdana" w:cs="Arial"/>
          <w:b/>
          <w:sz w:val="22"/>
          <w:szCs w:val="22"/>
        </w:rPr>
      </w:pPr>
      <w:r w:rsidRPr="00287076">
        <w:rPr>
          <w:rFonts w:ascii="Verdana" w:hAnsi="Verdana" w:cs="Arial"/>
          <w:b/>
          <w:sz w:val="22"/>
          <w:szCs w:val="22"/>
        </w:rPr>
        <w:t>Marco normativo</w:t>
      </w:r>
    </w:p>
    <w:p w14:paraId="616C7AE7" w14:textId="25D90DAD" w:rsidR="00287076" w:rsidRDefault="00287076"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El artículo 305, fracción II, del </w:t>
      </w:r>
      <w:r w:rsidRPr="00287076">
        <w:rPr>
          <w:rFonts w:ascii="Verdana" w:hAnsi="Verdana" w:cs="Arial"/>
          <w:bCs/>
          <w:smallCaps/>
          <w:sz w:val="22"/>
          <w:szCs w:val="22"/>
        </w:rPr>
        <w:t>Código Electoral</w:t>
      </w:r>
      <w:r>
        <w:rPr>
          <w:rFonts w:ascii="Verdana" w:hAnsi="Verdana" w:cs="Arial"/>
          <w:bCs/>
          <w:sz w:val="22"/>
          <w:szCs w:val="22"/>
        </w:rPr>
        <w:t xml:space="preserve"> establece que debe sobreseerse un medio de impugnación cuando la autoridad responsable </w:t>
      </w:r>
      <w:r>
        <w:rPr>
          <w:rFonts w:ascii="Verdana" w:hAnsi="Verdana" w:cs="Arial"/>
          <w:bCs/>
          <w:sz w:val="22"/>
          <w:szCs w:val="22"/>
        </w:rPr>
        <w:lastRenderedPageBreak/>
        <w:t xml:space="preserve">del acto o resolución impugnado lo modifique o revoque, de tal manera que quede sin materia antes de que se dicte resolución o </w:t>
      </w:r>
      <w:r w:rsidR="007466BA">
        <w:rPr>
          <w:rFonts w:ascii="Verdana" w:hAnsi="Verdana" w:cs="Arial"/>
          <w:bCs/>
          <w:sz w:val="22"/>
          <w:szCs w:val="22"/>
        </w:rPr>
        <w:t>sentencia</w:t>
      </w:r>
      <w:r>
        <w:rPr>
          <w:rFonts w:ascii="Verdana" w:hAnsi="Verdana" w:cs="Arial"/>
          <w:bCs/>
          <w:sz w:val="22"/>
          <w:szCs w:val="22"/>
        </w:rPr>
        <w:t>.</w:t>
      </w:r>
    </w:p>
    <w:p w14:paraId="19216CBB" w14:textId="5BB9D9A0" w:rsidR="00A07A96" w:rsidRDefault="00AB6EE2"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De </w:t>
      </w:r>
      <w:r w:rsidR="00287076">
        <w:rPr>
          <w:rFonts w:ascii="Verdana" w:hAnsi="Verdana" w:cs="Arial"/>
          <w:bCs/>
          <w:sz w:val="22"/>
          <w:szCs w:val="22"/>
        </w:rPr>
        <w:t>la disposición anterior es posible advertir que para tener por actualizada esta causal, se requiere que</w:t>
      </w:r>
      <w:r>
        <w:rPr>
          <w:rFonts w:ascii="Verdana" w:hAnsi="Verdana" w:cs="Arial"/>
          <w:bCs/>
          <w:sz w:val="22"/>
          <w:szCs w:val="22"/>
        </w:rPr>
        <w:t>:</w:t>
      </w:r>
    </w:p>
    <w:p w14:paraId="4BD3203C" w14:textId="77DF2585" w:rsidR="00AB6EE2" w:rsidRDefault="00287076" w:rsidP="00AB6EE2">
      <w:pPr>
        <w:pStyle w:val="Prrafodelista"/>
        <w:numPr>
          <w:ilvl w:val="0"/>
          <w:numId w:val="20"/>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La</w:t>
      </w:r>
      <w:r w:rsidR="00AB6EE2">
        <w:rPr>
          <w:rFonts w:ascii="Verdana" w:hAnsi="Verdana" w:cs="Arial"/>
          <w:bCs/>
          <w:sz w:val="22"/>
          <w:szCs w:val="22"/>
        </w:rPr>
        <w:t xml:space="preserve"> autoridad responsable del acto o resolución impugnado lo modifique o revoque, y</w:t>
      </w:r>
    </w:p>
    <w:p w14:paraId="44DA5386" w14:textId="6074CDD4" w:rsidR="00AB6EE2" w:rsidRPr="00AB6EE2" w:rsidRDefault="00287076" w:rsidP="00AB6EE2">
      <w:pPr>
        <w:pStyle w:val="Prrafodelista"/>
        <w:numPr>
          <w:ilvl w:val="0"/>
          <w:numId w:val="20"/>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Esa</w:t>
      </w:r>
      <w:r w:rsidR="00AB6EE2">
        <w:rPr>
          <w:rFonts w:ascii="Verdana" w:hAnsi="Verdana" w:cs="Arial"/>
          <w:bCs/>
          <w:sz w:val="22"/>
          <w:szCs w:val="22"/>
        </w:rPr>
        <w:t xml:space="preserve"> decisión deje totalmente sin materia el juicio o recurso</w:t>
      </w:r>
      <w:r>
        <w:rPr>
          <w:rFonts w:ascii="Verdana" w:hAnsi="Verdana" w:cs="Arial"/>
          <w:bCs/>
          <w:sz w:val="22"/>
          <w:szCs w:val="22"/>
        </w:rPr>
        <w:t xml:space="preserve">, antes de que se dicte la </w:t>
      </w:r>
      <w:r w:rsidR="007466BA">
        <w:rPr>
          <w:rFonts w:ascii="Verdana" w:hAnsi="Verdana" w:cs="Arial"/>
          <w:bCs/>
          <w:sz w:val="22"/>
          <w:szCs w:val="22"/>
        </w:rPr>
        <w:t>sentencia</w:t>
      </w:r>
      <w:r>
        <w:rPr>
          <w:rFonts w:ascii="Verdana" w:hAnsi="Verdana" w:cs="Arial"/>
          <w:bCs/>
          <w:sz w:val="22"/>
          <w:szCs w:val="22"/>
        </w:rPr>
        <w:t xml:space="preserve"> correspondiente</w:t>
      </w:r>
      <w:r w:rsidR="00AB6EE2">
        <w:rPr>
          <w:rFonts w:ascii="Verdana" w:hAnsi="Verdana" w:cs="Arial"/>
          <w:bCs/>
          <w:sz w:val="22"/>
          <w:szCs w:val="22"/>
        </w:rPr>
        <w:t>.</w:t>
      </w:r>
    </w:p>
    <w:p w14:paraId="1DF8CAF4" w14:textId="77777777" w:rsidR="00287076" w:rsidRPr="00287076" w:rsidRDefault="00287076" w:rsidP="00287076">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Al respecto, la </w:t>
      </w:r>
      <w:r w:rsidRPr="00287076">
        <w:rPr>
          <w:rFonts w:ascii="Verdana" w:hAnsi="Verdana" w:cs="Arial"/>
          <w:bCs/>
          <w:smallCaps/>
          <w:sz w:val="22"/>
          <w:szCs w:val="22"/>
        </w:rPr>
        <w:t>Sala Superior</w:t>
      </w:r>
      <w:r>
        <w:rPr>
          <w:rFonts w:ascii="Verdana" w:hAnsi="Verdana" w:cs="Arial"/>
          <w:bCs/>
          <w:sz w:val="22"/>
          <w:szCs w:val="22"/>
        </w:rPr>
        <w:t xml:space="preserve"> ha precisado que </w:t>
      </w:r>
      <w:r w:rsidRPr="00287076">
        <w:rPr>
          <w:rFonts w:ascii="Verdana" w:hAnsi="Verdana" w:cs="Arial"/>
          <w:bCs/>
          <w:sz w:val="22"/>
          <w:szCs w:val="22"/>
        </w:rPr>
        <w:t>el elemento determinante de esta causal de improcedencia es que el medio de impugnación quede sin materia, con independencia de la razón –de hecho, o de derecho– que produce el cambio de situación jurídica</w:t>
      </w:r>
      <w:r w:rsidRPr="00287076">
        <w:rPr>
          <w:rFonts w:ascii="Verdana" w:hAnsi="Verdana" w:cs="Arial"/>
          <w:bCs/>
          <w:sz w:val="22"/>
          <w:szCs w:val="22"/>
          <w:vertAlign w:val="superscript"/>
        </w:rPr>
        <w:footnoteReference w:id="9"/>
      </w:r>
      <w:r w:rsidRPr="00287076">
        <w:rPr>
          <w:rFonts w:ascii="Verdana" w:hAnsi="Verdana" w:cs="Arial"/>
          <w:bCs/>
          <w:sz w:val="22"/>
          <w:szCs w:val="22"/>
        </w:rPr>
        <w:t>.</w:t>
      </w:r>
    </w:p>
    <w:p w14:paraId="11F8AE88" w14:textId="03862281" w:rsidR="006E3B8E" w:rsidRPr="006E3B8E" w:rsidRDefault="006E3B8E" w:rsidP="006E3B8E">
      <w:pPr>
        <w:spacing w:before="100" w:beforeAutospacing="1" w:after="100" w:afterAutospacing="1" w:line="360" w:lineRule="auto"/>
        <w:jc w:val="both"/>
        <w:rPr>
          <w:rFonts w:ascii="Verdana" w:hAnsi="Verdana" w:cs="Arial"/>
          <w:bCs/>
          <w:sz w:val="22"/>
          <w:szCs w:val="22"/>
        </w:rPr>
      </w:pPr>
      <w:r w:rsidRPr="006E3B8E">
        <w:rPr>
          <w:rFonts w:ascii="Verdana" w:hAnsi="Verdana" w:cs="Arial"/>
          <w:bCs/>
          <w:sz w:val="22"/>
          <w:szCs w:val="22"/>
        </w:rPr>
        <w:t xml:space="preserve">Así, el presupuesto indispensable de todo proceso judicial es la existencia de un litigio, por lo que, si se extingue, cualquiera que sea la causa, la impugnación queda sin materia, puesto que se pierde la finalidad primordial del proceso judicial, que es la de resolver un litigio mediante el dictado de una </w:t>
      </w:r>
      <w:r w:rsidR="007466BA">
        <w:rPr>
          <w:rFonts w:ascii="Verdana" w:hAnsi="Verdana" w:cs="Arial"/>
          <w:bCs/>
          <w:sz w:val="22"/>
          <w:szCs w:val="22"/>
        </w:rPr>
        <w:t>sentencia</w:t>
      </w:r>
      <w:r w:rsidRPr="006E3B8E">
        <w:rPr>
          <w:rFonts w:ascii="Verdana" w:hAnsi="Verdana" w:cs="Arial"/>
          <w:bCs/>
          <w:sz w:val="22"/>
          <w:szCs w:val="22"/>
        </w:rPr>
        <w:t xml:space="preserve"> por parte de un órgano imparcial, independiente y dotado de jurisdicción. </w:t>
      </w:r>
    </w:p>
    <w:p w14:paraId="06CBA985" w14:textId="0EAFC115" w:rsidR="00DF5C83" w:rsidRPr="00DF5C83" w:rsidRDefault="00DF5C83" w:rsidP="009C1068">
      <w:pPr>
        <w:spacing w:before="100" w:beforeAutospacing="1" w:after="100" w:afterAutospacing="1" w:line="360" w:lineRule="auto"/>
        <w:jc w:val="both"/>
        <w:rPr>
          <w:rFonts w:ascii="Verdana" w:hAnsi="Verdana" w:cs="Arial"/>
          <w:b/>
          <w:sz w:val="22"/>
          <w:szCs w:val="22"/>
        </w:rPr>
      </w:pPr>
      <w:r w:rsidRPr="00DF5C83">
        <w:rPr>
          <w:rFonts w:ascii="Verdana" w:hAnsi="Verdana" w:cs="Arial"/>
          <w:b/>
          <w:sz w:val="22"/>
          <w:szCs w:val="22"/>
        </w:rPr>
        <w:t>Caso Concreto.</w:t>
      </w:r>
    </w:p>
    <w:p w14:paraId="33594C5C" w14:textId="7A2210EC" w:rsidR="00DF5C83" w:rsidRDefault="00DF5C83"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En el caso que nos ocupa, la </w:t>
      </w:r>
      <w:r w:rsidRPr="00DF5C83">
        <w:rPr>
          <w:rFonts w:ascii="Verdana" w:hAnsi="Verdana" w:cs="Arial"/>
          <w:bCs/>
          <w:smallCaps/>
          <w:sz w:val="22"/>
          <w:szCs w:val="22"/>
        </w:rPr>
        <w:t>Parte Recurrente</w:t>
      </w:r>
      <w:r>
        <w:rPr>
          <w:rFonts w:ascii="Verdana" w:hAnsi="Verdana" w:cs="Arial"/>
          <w:bCs/>
          <w:sz w:val="22"/>
          <w:szCs w:val="22"/>
        </w:rPr>
        <w:t xml:space="preserve"> presentó </w:t>
      </w:r>
      <w:r w:rsidR="00713B69">
        <w:rPr>
          <w:rFonts w:ascii="Verdana" w:hAnsi="Verdana" w:cs="Arial"/>
          <w:bCs/>
          <w:sz w:val="22"/>
          <w:szCs w:val="22"/>
        </w:rPr>
        <w:t>medio de impugnación</w:t>
      </w:r>
      <w:r>
        <w:rPr>
          <w:rFonts w:ascii="Verdana" w:hAnsi="Verdana" w:cs="Arial"/>
          <w:bCs/>
          <w:sz w:val="22"/>
          <w:szCs w:val="22"/>
        </w:rPr>
        <w:t xml:space="preserve"> para controvertir el Acuerdo de</w:t>
      </w:r>
      <w:r w:rsidR="007466BA">
        <w:rPr>
          <w:rFonts w:ascii="Verdana" w:hAnsi="Verdana" w:cs="Arial"/>
          <w:bCs/>
          <w:sz w:val="22"/>
          <w:szCs w:val="22"/>
        </w:rPr>
        <w:t xml:space="preserve"> </w:t>
      </w:r>
      <w:r w:rsidR="007466BA">
        <w:rPr>
          <w:rFonts w:ascii="Verdana" w:eastAsia="Arial" w:hAnsi="Verdana"/>
          <w:sz w:val="22"/>
          <w:szCs w:val="22"/>
        </w:rPr>
        <w:t xml:space="preserve">la </w:t>
      </w:r>
      <w:r w:rsidR="007466BA">
        <w:rPr>
          <w:rFonts w:ascii="Verdana" w:hAnsi="Verdana"/>
          <w:bCs/>
          <w:smallCaps/>
          <w:sz w:val="22"/>
          <w:szCs w:val="22"/>
        </w:rPr>
        <w:t>Autoridad Responsable</w:t>
      </w:r>
      <w:r>
        <w:rPr>
          <w:rFonts w:ascii="Verdana" w:hAnsi="Verdana" w:cs="Arial"/>
          <w:bCs/>
          <w:sz w:val="22"/>
          <w:szCs w:val="22"/>
        </w:rPr>
        <w:t>, mediante el cual aprobó la distribución del financiamiento público estatal a los partidos políticos para su gasto ordinario y actividades específicas correspondiente al ejercicio fiscal del años dos mil veintitrés; y se establecieron los montos de los límites a las aportaciones de financiamiento privado de los partidos políticos, emitido el doce de enero</w:t>
      </w:r>
      <w:r w:rsidR="00D503F8">
        <w:rPr>
          <w:rFonts w:ascii="Verdana" w:hAnsi="Verdana" w:cs="Arial"/>
          <w:bCs/>
          <w:sz w:val="22"/>
          <w:szCs w:val="22"/>
        </w:rPr>
        <w:t xml:space="preserve">, aduciendo esencialmente </w:t>
      </w:r>
      <w:r w:rsidR="00F70030">
        <w:rPr>
          <w:rFonts w:ascii="Verdana" w:hAnsi="Verdana" w:cs="Arial"/>
          <w:bCs/>
          <w:sz w:val="22"/>
          <w:szCs w:val="22"/>
        </w:rPr>
        <w:t>que</w:t>
      </w:r>
      <w:r w:rsidR="00D503F8">
        <w:rPr>
          <w:rFonts w:ascii="Verdana" w:hAnsi="Verdana" w:cs="Arial"/>
          <w:bCs/>
          <w:sz w:val="22"/>
          <w:szCs w:val="22"/>
        </w:rPr>
        <w:t>:</w:t>
      </w:r>
    </w:p>
    <w:p w14:paraId="63C786A3" w14:textId="767032F2" w:rsidR="00984164" w:rsidRDefault="00984164" w:rsidP="00984164">
      <w:pPr>
        <w:pStyle w:val="Prrafodelista"/>
        <w:numPr>
          <w:ilvl w:val="0"/>
          <w:numId w:val="21"/>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La </w:t>
      </w:r>
      <w:r w:rsidRPr="000E4112">
        <w:rPr>
          <w:rFonts w:ascii="Verdana" w:hAnsi="Verdana" w:cs="Arial"/>
          <w:bCs/>
          <w:smallCaps/>
          <w:sz w:val="22"/>
          <w:szCs w:val="22"/>
        </w:rPr>
        <w:t>Autoridad Responsable</w:t>
      </w:r>
      <w:r>
        <w:rPr>
          <w:rFonts w:ascii="Verdana" w:hAnsi="Verdana" w:cs="Arial"/>
          <w:bCs/>
          <w:sz w:val="22"/>
          <w:szCs w:val="22"/>
        </w:rPr>
        <w:t xml:space="preserve"> debió inaplicar los artículos 33, fracción V, y 35, primer párrafo, del </w:t>
      </w:r>
      <w:r w:rsidRPr="00984164">
        <w:rPr>
          <w:rFonts w:ascii="Verdana" w:hAnsi="Verdana" w:cs="Arial"/>
          <w:bCs/>
          <w:smallCaps/>
          <w:sz w:val="22"/>
          <w:szCs w:val="22"/>
        </w:rPr>
        <w:t>Código Electoral</w:t>
      </w:r>
      <w:r>
        <w:rPr>
          <w:rFonts w:ascii="Verdana" w:hAnsi="Verdana" w:cs="Arial"/>
          <w:bCs/>
          <w:sz w:val="22"/>
          <w:szCs w:val="22"/>
        </w:rPr>
        <w:t>, para distribuir equitativamente el financiamiento público, considerando</w:t>
      </w:r>
      <w:r w:rsidR="00432A0C">
        <w:rPr>
          <w:rFonts w:ascii="Verdana" w:hAnsi="Verdana" w:cs="Arial"/>
          <w:bCs/>
          <w:sz w:val="22"/>
          <w:szCs w:val="22"/>
        </w:rPr>
        <w:t xml:space="preserve"> para tal efecto, el porcentaje de votos obtenido por el partido político Movimiento Ciudadano en la elección inmediata anterior, es decir, </w:t>
      </w:r>
      <w:r w:rsidR="00432A0C">
        <w:rPr>
          <w:rFonts w:ascii="Verdana" w:hAnsi="Verdana" w:cs="Arial"/>
          <w:bCs/>
          <w:sz w:val="22"/>
          <w:szCs w:val="22"/>
        </w:rPr>
        <w:lastRenderedPageBreak/>
        <w:t xml:space="preserve">la de Gubernatura del Estado, llevada a cabo el seis </w:t>
      </w:r>
      <w:r w:rsidR="007466BA">
        <w:rPr>
          <w:rFonts w:ascii="Verdana" w:hAnsi="Verdana" w:cs="Arial"/>
          <w:bCs/>
          <w:sz w:val="22"/>
          <w:szCs w:val="22"/>
        </w:rPr>
        <w:t xml:space="preserve">(sic) </w:t>
      </w:r>
      <w:r w:rsidR="00432A0C">
        <w:rPr>
          <w:rFonts w:ascii="Verdana" w:hAnsi="Verdana" w:cs="Arial"/>
          <w:bCs/>
          <w:sz w:val="22"/>
          <w:szCs w:val="22"/>
        </w:rPr>
        <w:t>de junio de dos mil veintidós</w:t>
      </w:r>
      <w:r w:rsidR="008B6E8C">
        <w:rPr>
          <w:rFonts w:ascii="Verdana" w:hAnsi="Verdana" w:cs="Arial"/>
          <w:bCs/>
          <w:sz w:val="22"/>
          <w:szCs w:val="22"/>
        </w:rPr>
        <w:t xml:space="preserve">, garantizando la representatividad efectiva del partido en ese momento. </w:t>
      </w:r>
    </w:p>
    <w:p w14:paraId="5533EB10" w14:textId="74A08892" w:rsidR="00AA1347" w:rsidRDefault="00AA1347" w:rsidP="00984164">
      <w:pPr>
        <w:pStyle w:val="Prrafodelista"/>
        <w:numPr>
          <w:ilvl w:val="0"/>
          <w:numId w:val="21"/>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Violación a</w:t>
      </w:r>
      <w:r w:rsidR="000E4112">
        <w:rPr>
          <w:rFonts w:ascii="Verdana" w:hAnsi="Verdana" w:cs="Arial"/>
          <w:bCs/>
          <w:sz w:val="22"/>
          <w:szCs w:val="22"/>
        </w:rPr>
        <w:t>l</w:t>
      </w:r>
      <w:r>
        <w:rPr>
          <w:rFonts w:ascii="Verdana" w:hAnsi="Verdana" w:cs="Arial"/>
          <w:bCs/>
          <w:sz w:val="22"/>
          <w:szCs w:val="22"/>
        </w:rPr>
        <w:t xml:space="preserve"> principio de equidad en el financiamiento público, al sistema de partidos y la soberanía popular.</w:t>
      </w:r>
    </w:p>
    <w:p w14:paraId="05C7C525" w14:textId="30309D00" w:rsidR="00AA1347" w:rsidRDefault="00AA1347" w:rsidP="00984164">
      <w:pPr>
        <w:pStyle w:val="Prrafodelista"/>
        <w:numPr>
          <w:ilvl w:val="0"/>
          <w:numId w:val="21"/>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La existencia de un desfase en la periodicidad de las elecciones locales de Ayuntamientos, Diputaciones y Gubernatura, por lo que deben considerarse como procesos electorales distintos</w:t>
      </w:r>
      <w:r w:rsidR="000E4112">
        <w:rPr>
          <w:rFonts w:ascii="Verdana" w:hAnsi="Verdana" w:cs="Arial"/>
          <w:bCs/>
          <w:sz w:val="22"/>
          <w:szCs w:val="22"/>
        </w:rPr>
        <w:t>.</w:t>
      </w:r>
    </w:p>
    <w:p w14:paraId="0E26A8C1" w14:textId="77777777" w:rsidR="00CF3A60" w:rsidRDefault="000E4112" w:rsidP="00984164">
      <w:pPr>
        <w:pStyle w:val="Prrafodelista"/>
        <w:numPr>
          <w:ilvl w:val="0"/>
          <w:numId w:val="21"/>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La </w:t>
      </w:r>
      <w:r w:rsidRPr="000E4112">
        <w:rPr>
          <w:rFonts w:ascii="Verdana" w:hAnsi="Verdana" w:cs="Arial"/>
          <w:bCs/>
          <w:smallCaps/>
          <w:sz w:val="22"/>
          <w:szCs w:val="22"/>
        </w:rPr>
        <w:t>Autoridad Responsable</w:t>
      </w:r>
      <w:r>
        <w:rPr>
          <w:rFonts w:ascii="Verdana" w:hAnsi="Verdana" w:cs="Arial"/>
          <w:bCs/>
          <w:sz w:val="22"/>
          <w:szCs w:val="22"/>
        </w:rPr>
        <w:t xml:space="preserve"> otorgó de manera incorrecta y en menor proporción las prerrogativas constitucionales y legales conferidas a favor de la </w:t>
      </w:r>
      <w:r w:rsidRPr="000E4112">
        <w:rPr>
          <w:rFonts w:ascii="Verdana" w:hAnsi="Verdana" w:cs="Arial"/>
          <w:bCs/>
          <w:smallCaps/>
          <w:sz w:val="22"/>
          <w:szCs w:val="22"/>
        </w:rPr>
        <w:t>Parte Recurrente</w:t>
      </w:r>
      <w:r>
        <w:rPr>
          <w:rFonts w:ascii="Verdana" w:hAnsi="Verdana" w:cs="Arial"/>
          <w:bCs/>
          <w:sz w:val="22"/>
          <w:szCs w:val="22"/>
        </w:rPr>
        <w:t xml:space="preserve">, por cuanto hace al sesenta por ciento del financiamiento público referente a actividades ordinarias permanentes y al setenta por ciento del financiamiento señalado para actividades específicas, vulnerando </w:t>
      </w:r>
      <w:r w:rsidR="00462202">
        <w:rPr>
          <w:rFonts w:ascii="Verdana" w:hAnsi="Verdana" w:cs="Arial"/>
          <w:bCs/>
          <w:sz w:val="22"/>
          <w:szCs w:val="22"/>
        </w:rPr>
        <w:t xml:space="preserve">lo dispuesto por </w:t>
      </w:r>
      <w:r>
        <w:rPr>
          <w:rFonts w:ascii="Verdana" w:hAnsi="Verdana" w:cs="Arial"/>
          <w:bCs/>
          <w:sz w:val="22"/>
          <w:szCs w:val="22"/>
        </w:rPr>
        <w:t>el artículo 41, Base II, de la Constitución</w:t>
      </w:r>
      <w:r w:rsidR="00462202">
        <w:rPr>
          <w:rFonts w:ascii="Verdana" w:hAnsi="Verdana" w:cs="Arial"/>
          <w:bCs/>
          <w:sz w:val="22"/>
          <w:szCs w:val="22"/>
        </w:rPr>
        <w:t xml:space="preserve"> Política de los Estados Unidos Mexicanos</w:t>
      </w:r>
      <w:r w:rsidR="00CF3A60">
        <w:rPr>
          <w:rFonts w:ascii="Verdana" w:hAnsi="Verdana" w:cs="Arial"/>
          <w:bCs/>
          <w:sz w:val="22"/>
          <w:szCs w:val="22"/>
        </w:rPr>
        <w:t>, para el otorgamiento de financiamiento público.</w:t>
      </w:r>
    </w:p>
    <w:p w14:paraId="5403E60F" w14:textId="6CFDA276" w:rsidR="000E4112" w:rsidRPr="00984164" w:rsidRDefault="00CF3A60" w:rsidP="00984164">
      <w:pPr>
        <w:pStyle w:val="Prrafodelista"/>
        <w:numPr>
          <w:ilvl w:val="0"/>
          <w:numId w:val="21"/>
        </w:num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Indebida fundamentación y motivación,</w:t>
      </w:r>
      <w:r w:rsidR="00E21375">
        <w:rPr>
          <w:rFonts w:ascii="Verdana" w:hAnsi="Verdana" w:cs="Arial"/>
          <w:bCs/>
          <w:sz w:val="22"/>
          <w:szCs w:val="22"/>
        </w:rPr>
        <w:t xml:space="preserve"> </w:t>
      </w:r>
      <w:r w:rsidR="007466BA">
        <w:rPr>
          <w:rFonts w:ascii="Verdana" w:hAnsi="Verdana" w:cs="Arial"/>
          <w:bCs/>
          <w:sz w:val="22"/>
          <w:szCs w:val="22"/>
        </w:rPr>
        <w:t>así como</w:t>
      </w:r>
      <w:r>
        <w:rPr>
          <w:rFonts w:ascii="Verdana" w:hAnsi="Verdana" w:cs="Arial"/>
          <w:bCs/>
          <w:sz w:val="22"/>
          <w:szCs w:val="22"/>
        </w:rPr>
        <w:t xml:space="preserve"> falta de exhaustividad</w:t>
      </w:r>
      <w:r w:rsidR="00E21375">
        <w:rPr>
          <w:rFonts w:ascii="Verdana" w:hAnsi="Verdana" w:cs="Arial"/>
          <w:bCs/>
          <w:sz w:val="22"/>
          <w:szCs w:val="22"/>
        </w:rPr>
        <w:t xml:space="preserve"> por la </w:t>
      </w:r>
      <w:r w:rsidR="00E21375" w:rsidRPr="00E21375">
        <w:rPr>
          <w:rFonts w:ascii="Verdana" w:hAnsi="Verdana" w:cs="Arial"/>
          <w:bCs/>
          <w:smallCaps/>
          <w:sz w:val="22"/>
          <w:szCs w:val="22"/>
        </w:rPr>
        <w:t>Autoridad Responsable</w:t>
      </w:r>
      <w:r w:rsidR="00E21375">
        <w:rPr>
          <w:rFonts w:ascii="Verdana" w:hAnsi="Verdana" w:cs="Arial"/>
          <w:bCs/>
          <w:sz w:val="22"/>
          <w:szCs w:val="22"/>
        </w:rPr>
        <w:t xml:space="preserve"> en el </w:t>
      </w:r>
      <w:r w:rsidR="00E21375" w:rsidRPr="00E21375">
        <w:rPr>
          <w:rFonts w:ascii="Verdana" w:hAnsi="Verdana" w:cs="Arial"/>
          <w:bCs/>
          <w:smallCaps/>
          <w:sz w:val="22"/>
          <w:szCs w:val="22"/>
        </w:rPr>
        <w:t>Acto Impugnado</w:t>
      </w:r>
      <w:r w:rsidR="00E21375">
        <w:rPr>
          <w:rFonts w:ascii="Verdana" w:hAnsi="Verdana" w:cs="Arial"/>
          <w:bCs/>
          <w:sz w:val="22"/>
          <w:szCs w:val="22"/>
        </w:rPr>
        <w:t xml:space="preserve">. </w:t>
      </w:r>
      <w:r>
        <w:rPr>
          <w:rFonts w:ascii="Verdana" w:hAnsi="Verdana" w:cs="Arial"/>
          <w:bCs/>
          <w:sz w:val="22"/>
          <w:szCs w:val="22"/>
        </w:rPr>
        <w:t xml:space="preserve"> </w:t>
      </w:r>
    </w:p>
    <w:p w14:paraId="1A7E19FA" w14:textId="54D7CB70" w:rsidR="00F70030" w:rsidRDefault="00713B69"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 xml:space="preserve">Ahora, </w:t>
      </w:r>
      <w:r w:rsidR="00F70030">
        <w:rPr>
          <w:rFonts w:ascii="Verdana" w:hAnsi="Verdana" w:cs="Arial"/>
          <w:bCs/>
          <w:sz w:val="22"/>
          <w:szCs w:val="22"/>
        </w:rPr>
        <w:t>se advierte que en el caso existió un cambio de situación jurídica que deja sin materia la controversia, de conformidad con lo siguiente:</w:t>
      </w:r>
    </w:p>
    <w:p w14:paraId="27401ED6" w14:textId="19C33902" w:rsidR="00DF5C83" w:rsidRDefault="00F70030"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El</w:t>
      </w:r>
      <w:r w:rsidR="00DF5C83">
        <w:rPr>
          <w:rFonts w:ascii="Verdana" w:hAnsi="Verdana" w:cs="Arial"/>
          <w:bCs/>
          <w:sz w:val="22"/>
          <w:szCs w:val="22"/>
        </w:rPr>
        <w:t xml:space="preserve"> dieciocho de enero, </w:t>
      </w:r>
      <w:r w:rsidR="00DE6BA5">
        <w:rPr>
          <w:rFonts w:ascii="Verdana" w:hAnsi="Verdana" w:cs="Arial"/>
          <w:bCs/>
          <w:sz w:val="22"/>
          <w:szCs w:val="22"/>
        </w:rPr>
        <w:t>se</w:t>
      </w:r>
      <w:r w:rsidR="00DF5C83">
        <w:rPr>
          <w:rFonts w:ascii="Verdana" w:hAnsi="Verdana" w:cs="Arial"/>
          <w:bCs/>
          <w:sz w:val="22"/>
          <w:szCs w:val="22"/>
        </w:rPr>
        <w:t xml:space="preserve"> </w:t>
      </w:r>
      <w:r w:rsidR="004A6F7D">
        <w:rPr>
          <w:rFonts w:ascii="Verdana" w:hAnsi="Verdana" w:cs="Arial"/>
          <w:bCs/>
          <w:sz w:val="22"/>
          <w:szCs w:val="22"/>
        </w:rPr>
        <w:t xml:space="preserve">presentó Recurso de Apelación para controvertir, por distintas razones, el </w:t>
      </w:r>
      <w:r w:rsidR="004A6F7D" w:rsidRPr="004A6F7D">
        <w:rPr>
          <w:rFonts w:ascii="Verdana" w:hAnsi="Verdana" w:cs="Arial"/>
          <w:bCs/>
          <w:smallCaps/>
          <w:sz w:val="22"/>
          <w:szCs w:val="22"/>
        </w:rPr>
        <w:t>Acto Impugnado</w:t>
      </w:r>
      <w:r w:rsidR="004A6F7D">
        <w:rPr>
          <w:rFonts w:ascii="Verdana" w:hAnsi="Verdana" w:cs="Arial"/>
          <w:bCs/>
          <w:sz w:val="22"/>
          <w:szCs w:val="22"/>
        </w:rPr>
        <w:t xml:space="preserve">; mismo que fue resuelto por este </w:t>
      </w:r>
      <w:r w:rsidR="004A6F7D" w:rsidRPr="00E23F4C">
        <w:rPr>
          <w:rFonts w:ascii="Verdana" w:hAnsi="Verdana" w:cs="Arial"/>
          <w:bCs/>
          <w:smallCaps/>
          <w:sz w:val="22"/>
          <w:szCs w:val="22"/>
        </w:rPr>
        <w:t>Tribunal</w:t>
      </w:r>
      <w:r w:rsidR="004A6F7D">
        <w:rPr>
          <w:rFonts w:ascii="Verdana" w:hAnsi="Verdana" w:cs="Arial"/>
          <w:bCs/>
          <w:sz w:val="22"/>
          <w:szCs w:val="22"/>
        </w:rPr>
        <w:t xml:space="preserve"> el siete de febrero, cuyo punto resolutivo fue </w:t>
      </w:r>
      <w:r w:rsidR="007466BA">
        <w:rPr>
          <w:rFonts w:ascii="Verdana" w:hAnsi="Verdana" w:cs="Arial"/>
          <w:bCs/>
          <w:sz w:val="22"/>
          <w:szCs w:val="22"/>
        </w:rPr>
        <w:t>el</w:t>
      </w:r>
      <w:r w:rsidR="004A6F7D">
        <w:rPr>
          <w:rFonts w:ascii="Verdana" w:hAnsi="Verdana" w:cs="Arial"/>
          <w:bCs/>
          <w:sz w:val="22"/>
          <w:szCs w:val="22"/>
        </w:rPr>
        <w:t xml:space="preserve"> siguiente:</w:t>
      </w:r>
      <w:r w:rsidR="004A6F7D">
        <w:rPr>
          <w:rStyle w:val="Refdenotaalpie"/>
          <w:rFonts w:ascii="Verdana" w:hAnsi="Verdana" w:cs="Arial"/>
          <w:bCs/>
          <w:sz w:val="22"/>
          <w:szCs w:val="22"/>
        </w:rPr>
        <w:footnoteReference w:id="10"/>
      </w:r>
    </w:p>
    <w:p w14:paraId="0840827A" w14:textId="4D6C1E0F" w:rsidR="004A6F7D" w:rsidRPr="007466BA" w:rsidRDefault="004A6F7D" w:rsidP="007466BA">
      <w:pPr>
        <w:spacing w:before="100" w:beforeAutospacing="1" w:after="100" w:afterAutospacing="1"/>
        <w:ind w:left="567" w:right="567"/>
        <w:jc w:val="both"/>
        <w:rPr>
          <w:rFonts w:ascii="Verdana" w:hAnsi="Verdana" w:cs="Arial"/>
          <w:i/>
          <w:iCs/>
          <w:sz w:val="22"/>
          <w:szCs w:val="22"/>
        </w:rPr>
      </w:pPr>
      <w:r>
        <w:rPr>
          <w:rFonts w:ascii="Verdana" w:hAnsi="Verdana" w:cs="Arial"/>
          <w:b/>
          <w:bCs/>
          <w:sz w:val="22"/>
          <w:szCs w:val="22"/>
        </w:rPr>
        <w:t>“</w:t>
      </w:r>
      <w:r w:rsidRPr="00401B09">
        <w:rPr>
          <w:rFonts w:ascii="Verdana" w:hAnsi="Verdana" w:cs="Arial"/>
          <w:b/>
          <w:bCs/>
          <w:i/>
          <w:iCs/>
          <w:sz w:val="22"/>
          <w:szCs w:val="22"/>
        </w:rPr>
        <w:t>ÚNICO.</w:t>
      </w:r>
      <w:r w:rsidRPr="00401B09">
        <w:rPr>
          <w:rFonts w:ascii="Verdana" w:hAnsi="Verdana" w:cs="Arial"/>
          <w:b/>
          <w:i/>
          <w:iCs/>
          <w:sz w:val="22"/>
          <w:szCs w:val="22"/>
        </w:rPr>
        <w:t xml:space="preserve"> </w:t>
      </w:r>
      <w:r w:rsidRPr="00401B09">
        <w:rPr>
          <w:rFonts w:ascii="Verdana" w:hAnsi="Verdana" w:cs="Arial"/>
          <w:bCs/>
          <w:i/>
          <w:iCs/>
          <w:sz w:val="22"/>
          <w:szCs w:val="22"/>
        </w:rPr>
        <w:t xml:space="preserve">Se </w:t>
      </w:r>
      <w:r w:rsidRPr="00401B09">
        <w:rPr>
          <w:rFonts w:ascii="Verdana" w:hAnsi="Verdana" w:cs="Arial"/>
          <w:b/>
          <w:bCs/>
          <w:i/>
          <w:iCs/>
          <w:sz w:val="22"/>
          <w:szCs w:val="22"/>
        </w:rPr>
        <w:t>REVOCA</w:t>
      </w:r>
      <w:r w:rsidRPr="00401B09">
        <w:rPr>
          <w:rFonts w:ascii="Verdana" w:hAnsi="Verdana" w:cs="Arial"/>
          <w:bCs/>
          <w:i/>
          <w:iCs/>
          <w:sz w:val="22"/>
          <w:szCs w:val="22"/>
        </w:rPr>
        <w:t xml:space="preserve"> la resolución materia de impugnación, </w:t>
      </w:r>
      <w:r w:rsidRPr="00401B09">
        <w:rPr>
          <w:rFonts w:ascii="Verdana" w:hAnsi="Verdana"/>
          <w:bCs/>
          <w:i/>
          <w:iCs/>
          <w:sz w:val="22"/>
          <w:szCs w:val="22"/>
        </w:rPr>
        <w:t>en términos de lo establecidos en el apartado de efectos</w:t>
      </w:r>
      <w:r w:rsidRPr="00FE32A7">
        <w:rPr>
          <w:rFonts w:ascii="Verdana" w:hAnsi="Verdana" w:cs="Arial"/>
          <w:smallCaps/>
          <w:sz w:val="22"/>
          <w:szCs w:val="22"/>
          <w:lang w:val="es-MX"/>
        </w:rPr>
        <w:t>.</w:t>
      </w:r>
      <w:r>
        <w:rPr>
          <w:rFonts w:ascii="Verdana" w:hAnsi="Verdana" w:cs="Arial"/>
          <w:smallCaps/>
          <w:sz w:val="22"/>
          <w:szCs w:val="22"/>
          <w:lang w:val="es-MX"/>
        </w:rPr>
        <w:t>”</w:t>
      </w:r>
    </w:p>
    <w:p w14:paraId="770D319F" w14:textId="12952681" w:rsidR="004A6F7D" w:rsidRDefault="004A6F7D"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lang w:val="es-MX"/>
        </w:rPr>
        <w:t xml:space="preserve">Consecuentemente, en cumplimiento a lo ordenado, en sesión extraordinaria del veinte de febrero, </w:t>
      </w:r>
      <w:r w:rsidR="007466BA">
        <w:rPr>
          <w:rFonts w:ascii="Verdana" w:eastAsia="Arial" w:hAnsi="Verdana"/>
          <w:sz w:val="22"/>
          <w:szCs w:val="22"/>
        </w:rPr>
        <w:t xml:space="preserve">la </w:t>
      </w:r>
      <w:r w:rsidR="007466BA">
        <w:rPr>
          <w:rFonts w:ascii="Verdana" w:hAnsi="Verdana"/>
          <w:bCs/>
          <w:smallCaps/>
          <w:sz w:val="22"/>
          <w:szCs w:val="22"/>
        </w:rPr>
        <w:t>Autoridad Responsable</w:t>
      </w:r>
      <w:r>
        <w:rPr>
          <w:rFonts w:ascii="Verdana" w:hAnsi="Verdana" w:cs="Arial"/>
          <w:bCs/>
          <w:sz w:val="22"/>
          <w:szCs w:val="22"/>
          <w:lang w:val="es-MX"/>
        </w:rPr>
        <w:t xml:space="preserve"> emitió el Acuerdo </w:t>
      </w:r>
      <w:r w:rsidR="00FE6E35">
        <w:rPr>
          <w:rFonts w:ascii="Verdana" w:hAnsi="Verdana" w:cs="Arial"/>
          <w:bCs/>
          <w:sz w:val="22"/>
          <w:szCs w:val="22"/>
          <w:lang w:val="es-MX"/>
        </w:rPr>
        <w:t>identificado con la clave</w:t>
      </w:r>
      <w:r w:rsidR="00F70030">
        <w:rPr>
          <w:rFonts w:ascii="Verdana" w:hAnsi="Verdana" w:cs="Arial"/>
          <w:bCs/>
          <w:sz w:val="22"/>
          <w:szCs w:val="22"/>
          <w:lang w:val="es-MX"/>
        </w:rPr>
        <w:t xml:space="preserve"> alfanumérica</w:t>
      </w:r>
      <w:r w:rsidR="00FE6E35">
        <w:rPr>
          <w:rFonts w:ascii="Verdana" w:hAnsi="Verdana" w:cs="Arial"/>
          <w:bCs/>
          <w:sz w:val="22"/>
          <w:szCs w:val="22"/>
          <w:lang w:val="es-MX"/>
        </w:rPr>
        <w:t xml:space="preserve"> </w:t>
      </w:r>
      <w:r w:rsidR="00FE6E35">
        <w:rPr>
          <w:rFonts w:ascii="Verdana" w:hAnsi="Verdana" w:cs="Arial"/>
          <w:bCs/>
          <w:sz w:val="22"/>
          <w:szCs w:val="22"/>
        </w:rPr>
        <w:t xml:space="preserve">CG-A-06/23, </w:t>
      </w:r>
      <w:r>
        <w:rPr>
          <w:rFonts w:ascii="Verdana" w:hAnsi="Verdana" w:cs="Arial"/>
          <w:bCs/>
          <w:sz w:val="22"/>
          <w:szCs w:val="22"/>
        </w:rPr>
        <w:t>mediante el cual aprueba la distribución del financiamiento público estatal a los partidos políticos para su gasto ordinario y actividades específicas correspondiente al ejercicio fiscal del años dos mil veintitrés; y se establecen los montos de los límites a las aportaciones de financiamiento privado de los partidos políticos</w:t>
      </w:r>
      <w:r w:rsidR="00A15D8C">
        <w:rPr>
          <w:rFonts w:ascii="Verdana" w:hAnsi="Verdana" w:cs="Arial"/>
          <w:bCs/>
          <w:sz w:val="22"/>
          <w:szCs w:val="22"/>
        </w:rPr>
        <w:t>.</w:t>
      </w:r>
    </w:p>
    <w:p w14:paraId="41EF4430" w14:textId="10B0BFF0" w:rsidR="00A15D8C" w:rsidRDefault="00401B09" w:rsidP="009C1068">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lastRenderedPageBreak/>
        <w:t>Dicha sesión</w:t>
      </w:r>
      <w:r w:rsidR="00A15D8C">
        <w:rPr>
          <w:rFonts w:ascii="Verdana" w:hAnsi="Verdana" w:cs="Arial"/>
          <w:bCs/>
          <w:sz w:val="22"/>
          <w:szCs w:val="22"/>
        </w:rPr>
        <w:t xml:space="preserve"> constituye un hecho notorio,</w:t>
      </w:r>
      <w:r w:rsidR="0006353D">
        <w:rPr>
          <w:rFonts w:ascii="Verdana" w:hAnsi="Verdana" w:cs="Arial"/>
          <w:bCs/>
          <w:sz w:val="22"/>
          <w:szCs w:val="22"/>
        </w:rPr>
        <w:t xml:space="preserve"> al ser un acontecimiento de dominio público conocido por las personas representantes de los partidos políticos, pues consta su presencia en dicho acto, así como de la ciudadanía, al haber sido transmitido por </w:t>
      </w:r>
      <w:r>
        <w:rPr>
          <w:rFonts w:ascii="Verdana" w:hAnsi="Verdana" w:cs="Arial"/>
          <w:bCs/>
          <w:sz w:val="22"/>
          <w:szCs w:val="22"/>
        </w:rPr>
        <w:t>diversas</w:t>
      </w:r>
      <w:r w:rsidR="0006353D">
        <w:rPr>
          <w:rFonts w:ascii="Verdana" w:hAnsi="Verdana" w:cs="Arial"/>
          <w:bCs/>
          <w:sz w:val="22"/>
          <w:szCs w:val="22"/>
        </w:rPr>
        <w:t xml:space="preserve"> redes sociales </w:t>
      </w:r>
      <w:r>
        <w:rPr>
          <w:rFonts w:ascii="Verdana" w:hAnsi="Verdana" w:cs="Arial"/>
          <w:bCs/>
          <w:sz w:val="22"/>
          <w:szCs w:val="22"/>
        </w:rPr>
        <w:t xml:space="preserve">oficiales </w:t>
      </w:r>
      <w:r w:rsidR="0006353D">
        <w:rPr>
          <w:rFonts w:ascii="Verdana" w:hAnsi="Verdana" w:cs="Arial"/>
          <w:bCs/>
          <w:sz w:val="22"/>
          <w:szCs w:val="22"/>
        </w:rPr>
        <w:t xml:space="preserve">del </w:t>
      </w:r>
      <w:r w:rsidR="0006353D" w:rsidRPr="0006353D">
        <w:rPr>
          <w:rFonts w:ascii="Verdana" w:hAnsi="Verdana" w:cs="Arial"/>
          <w:bCs/>
          <w:smallCaps/>
          <w:sz w:val="22"/>
          <w:szCs w:val="22"/>
        </w:rPr>
        <w:t>I</w:t>
      </w:r>
      <w:r w:rsidR="004E7AF6">
        <w:rPr>
          <w:rFonts w:ascii="Verdana" w:hAnsi="Verdana" w:cs="Arial"/>
          <w:bCs/>
          <w:smallCaps/>
          <w:sz w:val="22"/>
          <w:szCs w:val="22"/>
        </w:rPr>
        <w:t>EE</w:t>
      </w:r>
      <w:r w:rsidR="0006353D">
        <w:rPr>
          <w:rFonts w:ascii="Verdana" w:hAnsi="Verdana" w:cs="Arial"/>
          <w:bCs/>
          <w:sz w:val="22"/>
          <w:szCs w:val="22"/>
        </w:rPr>
        <w:t xml:space="preserve">, por lo que no hay duda ni discusión </w:t>
      </w:r>
      <w:r>
        <w:rPr>
          <w:rFonts w:ascii="Verdana" w:hAnsi="Verdana" w:cs="Arial"/>
          <w:bCs/>
          <w:sz w:val="22"/>
          <w:szCs w:val="22"/>
        </w:rPr>
        <w:t>sobre su existencia.</w:t>
      </w:r>
      <w:r>
        <w:rPr>
          <w:rStyle w:val="Refdenotaalpie"/>
          <w:rFonts w:ascii="Verdana" w:hAnsi="Verdana" w:cs="Arial"/>
          <w:bCs/>
          <w:sz w:val="22"/>
          <w:szCs w:val="22"/>
        </w:rPr>
        <w:footnoteReference w:id="11"/>
      </w:r>
    </w:p>
    <w:p w14:paraId="1F0AEE24" w14:textId="72AAFC1D" w:rsidR="006B2A8D" w:rsidRDefault="00F70030" w:rsidP="009C1068">
      <w:pPr>
        <w:spacing w:before="100" w:beforeAutospacing="1" w:after="100" w:afterAutospacing="1" w:line="360" w:lineRule="auto"/>
        <w:jc w:val="both"/>
        <w:rPr>
          <w:rFonts w:ascii="Verdana" w:hAnsi="Verdana" w:cs="Arial"/>
          <w:bCs/>
          <w:sz w:val="22"/>
          <w:szCs w:val="22"/>
        </w:rPr>
      </w:pPr>
      <w:r w:rsidRPr="003178D9">
        <w:rPr>
          <w:rFonts w:ascii="Verdana" w:hAnsi="Verdana" w:cs="Arial"/>
          <w:bCs/>
          <w:sz w:val="22"/>
          <w:szCs w:val="22"/>
        </w:rPr>
        <w:t xml:space="preserve">Por otra parte, </w:t>
      </w:r>
      <w:r w:rsidR="006B2A8D" w:rsidRPr="003178D9">
        <w:rPr>
          <w:rFonts w:ascii="Verdana" w:hAnsi="Verdana" w:cs="Arial"/>
          <w:bCs/>
          <w:sz w:val="22"/>
          <w:szCs w:val="22"/>
        </w:rPr>
        <w:t xml:space="preserve">el </w:t>
      </w:r>
      <w:r w:rsidR="00333F28">
        <w:rPr>
          <w:rFonts w:ascii="Verdana" w:hAnsi="Verdana" w:cs="Arial"/>
          <w:bCs/>
          <w:sz w:val="22"/>
          <w:szCs w:val="22"/>
        </w:rPr>
        <w:t>veintidós</w:t>
      </w:r>
      <w:r w:rsidR="006B2A8D" w:rsidRPr="003178D9">
        <w:rPr>
          <w:rFonts w:ascii="Verdana" w:hAnsi="Verdana" w:cs="Arial"/>
          <w:bCs/>
          <w:sz w:val="22"/>
          <w:szCs w:val="22"/>
        </w:rPr>
        <w:t xml:space="preserve"> de febrero, este </w:t>
      </w:r>
      <w:r w:rsidR="006B2A8D" w:rsidRPr="003178D9">
        <w:rPr>
          <w:rFonts w:ascii="Verdana" w:hAnsi="Verdana" w:cs="Arial"/>
          <w:bCs/>
          <w:smallCaps/>
          <w:sz w:val="22"/>
          <w:szCs w:val="22"/>
        </w:rPr>
        <w:t>Tribunal</w:t>
      </w:r>
      <w:r w:rsidR="006B2A8D" w:rsidRPr="003178D9">
        <w:rPr>
          <w:rFonts w:ascii="Verdana" w:hAnsi="Verdana" w:cs="Arial"/>
          <w:bCs/>
          <w:sz w:val="22"/>
          <w:szCs w:val="22"/>
        </w:rPr>
        <w:t xml:space="preserve"> dictó Acuerdo Plenario de Cumplimiento de </w:t>
      </w:r>
      <w:r w:rsidR="007466BA">
        <w:rPr>
          <w:rFonts w:ascii="Verdana" w:hAnsi="Verdana" w:cs="Arial"/>
          <w:bCs/>
          <w:sz w:val="22"/>
          <w:szCs w:val="22"/>
        </w:rPr>
        <w:t>Sentencia</w:t>
      </w:r>
      <w:r w:rsidR="006B2A8D" w:rsidRPr="003178D9">
        <w:rPr>
          <w:rFonts w:ascii="Verdana" w:hAnsi="Verdana" w:cs="Arial"/>
          <w:bCs/>
          <w:sz w:val="22"/>
          <w:szCs w:val="22"/>
        </w:rPr>
        <w:t xml:space="preserve"> en el expediente TEEA-RAP-001/2023.</w:t>
      </w:r>
      <w:r w:rsidR="003178D9">
        <w:rPr>
          <w:rStyle w:val="Refdenotaalpie"/>
          <w:rFonts w:ascii="Verdana" w:hAnsi="Verdana" w:cs="Arial"/>
          <w:bCs/>
          <w:sz w:val="22"/>
          <w:szCs w:val="22"/>
        </w:rPr>
        <w:footnoteReference w:id="12"/>
      </w:r>
      <w:r w:rsidR="006B2A8D">
        <w:rPr>
          <w:rFonts w:ascii="Verdana" w:hAnsi="Verdana" w:cs="Arial"/>
          <w:bCs/>
          <w:sz w:val="22"/>
          <w:szCs w:val="22"/>
        </w:rPr>
        <w:t xml:space="preserve"> </w:t>
      </w:r>
    </w:p>
    <w:p w14:paraId="7BBBB6DC" w14:textId="4A312B3C" w:rsidR="00DE6BA5" w:rsidRDefault="00DE6BA5" w:rsidP="00DE6BA5">
      <w:pPr>
        <w:spacing w:before="100" w:beforeAutospacing="1" w:after="100" w:afterAutospacing="1" w:line="360" w:lineRule="auto"/>
        <w:jc w:val="both"/>
        <w:rPr>
          <w:rFonts w:ascii="Verdana" w:hAnsi="Verdana" w:cs="Arial"/>
          <w:bCs/>
          <w:sz w:val="22"/>
          <w:szCs w:val="22"/>
        </w:rPr>
      </w:pPr>
      <w:bookmarkStart w:id="0" w:name="_Hlk71478344"/>
      <w:r>
        <w:rPr>
          <w:rFonts w:ascii="Verdana" w:hAnsi="Verdana" w:cs="Arial"/>
          <w:sz w:val="22"/>
          <w:szCs w:val="22"/>
        </w:rPr>
        <w:t xml:space="preserve">En ese sentido, es posible deducir que la pretensión de la </w:t>
      </w:r>
      <w:r>
        <w:rPr>
          <w:rFonts w:ascii="Verdana" w:hAnsi="Verdana" w:cs="Arial"/>
          <w:smallCaps/>
          <w:sz w:val="22"/>
          <w:szCs w:val="22"/>
        </w:rPr>
        <w:t>Parte Recurrente</w:t>
      </w:r>
      <w:r>
        <w:rPr>
          <w:rFonts w:ascii="Verdana" w:hAnsi="Verdana" w:cs="Arial"/>
          <w:sz w:val="22"/>
          <w:szCs w:val="22"/>
        </w:rPr>
        <w:t xml:space="preserve"> es que se revoque el </w:t>
      </w:r>
      <w:r>
        <w:rPr>
          <w:rFonts w:ascii="Verdana" w:hAnsi="Verdana" w:cs="Arial"/>
          <w:smallCaps/>
          <w:sz w:val="22"/>
          <w:szCs w:val="22"/>
        </w:rPr>
        <w:t>Acto Impugnado</w:t>
      </w:r>
      <w:r>
        <w:rPr>
          <w:rFonts w:ascii="Verdana" w:hAnsi="Verdana" w:cs="Arial"/>
          <w:sz w:val="22"/>
          <w:szCs w:val="22"/>
        </w:rPr>
        <w:t xml:space="preserve">, sin embargo, dichos actos se dejaron sin efectos con la emisión del </w:t>
      </w:r>
      <w:r w:rsidR="007466BA">
        <w:rPr>
          <w:rFonts w:ascii="Verdana" w:hAnsi="Verdana" w:cs="Arial"/>
          <w:sz w:val="22"/>
          <w:szCs w:val="22"/>
        </w:rPr>
        <w:t>A</w:t>
      </w:r>
      <w:r>
        <w:rPr>
          <w:rFonts w:ascii="Verdana" w:hAnsi="Verdana" w:cs="Arial"/>
          <w:sz w:val="22"/>
          <w:szCs w:val="22"/>
        </w:rPr>
        <w:t xml:space="preserve">cuerdo emitido el veinte de febrero por </w:t>
      </w:r>
      <w:r w:rsidR="007466BA">
        <w:rPr>
          <w:rFonts w:ascii="Verdana" w:eastAsia="Arial" w:hAnsi="Verdana"/>
          <w:sz w:val="22"/>
          <w:szCs w:val="22"/>
        </w:rPr>
        <w:t xml:space="preserve">la </w:t>
      </w:r>
      <w:r w:rsidR="007466BA">
        <w:rPr>
          <w:rFonts w:ascii="Verdana" w:hAnsi="Verdana"/>
          <w:bCs/>
          <w:smallCaps/>
          <w:sz w:val="22"/>
          <w:szCs w:val="22"/>
        </w:rPr>
        <w:t>Autoridad Responsable</w:t>
      </w:r>
      <w:r>
        <w:rPr>
          <w:rFonts w:ascii="Verdana" w:hAnsi="Verdana" w:cs="Arial"/>
          <w:sz w:val="22"/>
          <w:szCs w:val="22"/>
        </w:rPr>
        <w:t xml:space="preserve">, en cumplimiento a la </w:t>
      </w:r>
      <w:r w:rsidR="007466BA">
        <w:rPr>
          <w:rFonts w:ascii="Verdana" w:hAnsi="Verdana" w:cs="Arial"/>
          <w:sz w:val="22"/>
          <w:szCs w:val="22"/>
        </w:rPr>
        <w:t>Sentencia</w:t>
      </w:r>
      <w:r>
        <w:rPr>
          <w:rFonts w:ascii="Verdana" w:hAnsi="Verdana" w:cs="Arial"/>
          <w:sz w:val="22"/>
          <w:szCs w:val="22"/>
        </w:rPr>
        <w:t xml:space="preserve"> dictada por este </w:t>
      </w:r>
      <w:r>
        <w:rPr>
          <w:rFonts w:ascii="Verdana" w:hAnsi="Verdana" w:cs="Arial"/>
          <w:smallCaps/>
          <w:sz w:val="22"/>
          <w:szCs w:val="22"/>
        </w:rPr>
        <w:t>Tribunal</w:t>
      </w:r>
      <w:r>
        <w:rPr>
          <w:rFonts w:ascii="Verdana" w:hAnsi="Verdana" w:cs="Arial"/>
          <w:sz w:val="22"/>
          <w:szCs w:val="22"/>
        </w:rPr>
        <w:t xml:space="preserve">, dentro del expediente TEEA-RAP-001/2023, mediante </w:t>
      </w:r>
      <w:r>
        <w:rPr>
          <w:rFonts w:ascii="Verdana" w:hAnsi="Verdana" w:cs="Arial"/>
          <w:bCs/>
          <w:sz w:val="22"/>
          <w:szCs w:val="22"/>
        </w:rPr>
        <w:t>el cual aprueba la distribución del financiamiento público estatal a los partidos políticos para su gasto ordinario y actividades específicas correspondiente al ejercicio fiscal del años dos mil veintitrés; y se establecen los montos de los límites a las aportaciones de financiamiento privado de los partidos políticos.</w:t>
      </w:r>
    </w:p>
    <w:p w14:paraId="6B630DCE" w14:textId="77777777" w:rsidR="00DE6BA5" w:rsidRDefault="00DE6BA5" w:rsidP="00DE6BA5">
      <w:pPr>
        <w:spacing w:before="100" w:beforeAutospacing="1" w:after="100" w:afterAutospacing="1" w:line="360" w:lineRule="auto"/>
        <w:jc w:val="both"/>
        <w:rPr>
          <w:rFonts w:ascii="Verdana" w:hAnsi="Verdana" w:cs="Arial"/>
          <w:bCs/>
          <w:sz w:val="22"/>
          <w:szCs w:val="22"/>
        </w:rPr>
      </w:pPr>
      <w:r>
        <w:rPr>
          <w:rFonts w:ascii="Verdana" w:hAnsi="Verdana" w:cs="Arial"/>
          <w:bCs/>
          <w:sz w:val="22"/>
          <w:szCs w:val="22"/>
        </w:rPr>
        <w:t>Lo anterior constituye una nueva situación jurídica diversa y autónoma, al ser un acto distinto, que sí existe y tiene su propia sustancia formal.</w:t>
      </w:r>
      <w:r>
        <w:rPr>
          <w:rStyle w:val="Refdenotaalpie"/>
          <w:rFonts w:ascii="Verdana" w:hAnsi="Verdana" w:cs="Arial"/>
          <w:bCs/>
          <w:sz w:val="22"/>
          <w:szCs w:val="22"/>
        </w:rPr>
        <w:footnoteReference w:id="13"/>
      </w:r>
    </w:p>
    <w:p w14:paraId="521589A7" w14:textId="51EDC1AC" w:rsidR="00DE6BA5" w:rsidRDefault="00DE6BA5" w:rsidP="00DE6BA5">
      <w:pPr>
        <w:spacing w:before="100" w:beforeAutospacing="1" w:after="100" w:afterAutospacing="1" w:line="360" w:lineRule="auto"/>
        <w:jc w:val="both"/>
        <w:rPr>
          <w:rFonts w:ascii="Verdana" w:hAnsi="Verdana" w:cs="Arial"/>
          <w:sz w:val="22"/>
          <w:szCs w:val="22"/>
        </w:rPr>
      </w:pPr>
      <w:r>
        <w:rPr>
          <w:rFonts w:ascii="Verdana" w:hAnsi="Verdana" w:cs="Arial"/>
          <w:sz w:val="22"/>
          <w:szCs w:val="22"/>
        </w:rPr>
        <w:t xml:space="preserve">Conforme a lo expuesto, este órgano jurisdiccional estima que la situación jurídica de la </w:t>
      </w:r>
      <w:r>
        <w:rPr>
          <w:rFonts w:ascii="Verdana" w:hAnsi="Verdana" w:cs="Arial"/>
          <w:smallCaps/>
          <w:sz w:val="22"/>
          <w:szCs w:val="22"/>
        </w:rPr>
        <w:t>Parte Recurrente</w:t>
      </w:r>
      <w:r>
        <w:rPr>
          <w:rFonts w:ascii="Verdana" w:hAnsi="Verdana" w:cs="Arial"/>
          <w:sz w:val="22"/>
          <w:szCs w:val="22"/>
        </w:rPr>
        <w:t xml:space="preserve"> ha cambiado, trayendo como consecuencia que el presente Recurso quede sin materia, pues el acto que controvierte cesó sus efectos con la emisión del </w:t>
      </w:r>
      <w:r w:rsidR="007466BA">
        <w:rPr>
          <w:rFonts w:ascii="Verdana" w:hAnsi="Verdana" w:cs="Arial"/>
          <w:sz w:val="22"/>
          <w:szCs w:val="22"/>
        </w:rPr>
        <w:t>A</w:t>
      </w:r>
      <w:r>
        <w:rPr>
          <w:rFonts w:ascii="Verdana" w:hAnsi="Verdana" w:cs="Arial"/>
          <w:sz w:val="22"/>
          <w:szCs w:val="22"/>
        </w:rPr>
        <w:t xml:space="preserve">cuerdo emitido en cumplimiento a la </w:t>
      </w:r>
      <w:r w:rsidR="007466BA">
        <w:rPr>
          <w:rFonts w:ascii="Verdana" w:hAnsi="Verdana" w:cs="Arial"/>
          <w:sz w:val="22"/>
          <w:szCs w:val="22"/>
        </w:rPr>
        <w:t>Sentencia</w:t>
      </w:r>
      <w:r>
        <w:rPr>
          <w:rFonts w:ascii="Verdana" w:hAnsi="Verdana" w:cs="Arial"/>
          <w:sz w:val="22"/>
          <w:szCs w:val="22"/>
        </w:rPr>
        <w:t xml:space="preserve"> referida en el párrafo que antecede. </w:t>
      </w:r>
    </w:p>
    <w:p w14:paraId="3C08619F" w14:textId="1F9F1DAD" w:rsidR="002F0FE0" w:rsidRPr="00373BFA" w:rsidRDefault="00373BFA" w:rsidP="002F0FE0">
      <w:pPr>
        <w:spacing w:before="100" w:beforeAutospacing="1" w:after="100" w:afterAutospacing="1" w:line="360" w:lineRule="auto"/>
        <w:jc w:val="both"/>
        <w:rPr>
          <w:rFonts w:ascii="Verdana" w:hAnsi="Verdana" w:cs="Arial"/>
          <w:sz w:val="22"/>
          <w:szCs w:val="22"/>
        </w:rPr>
      </w:pPr>
      <w:r>
        <w:rPr>
          <w:rFonts w:ascii="Verdana" w:hAnsi="Verdana" w:cs="Arial"/>
          <w:sz w:val="22"/>
          <w:szCs w:val="22"/>
        </w:rPr>
        <w:t>En consecuencia, lo procedente es sobreseer el medio de impugnación, de conformidad con lo dispuesto en el artículo 305, fracción II</w:t>
      </w:r>
      <w:r w:rsidR="00E23F4C">
        <w:rPr>
          <w:rFonts w:ascii="Verdana" w:hAnsi="Verdana" w:cs="Arial"/>
          <w:sz w:val="22"/>
          <w:szCs w:val="22"/>
        </w:rPr>
        <w:t>,</w:t>
      </w:r>
      <w:r>
        <w:rPr>
          <w:rFonts w:ascii="Verdana" w:hAnsi="Verdana" w:cs="Arial"/>
          <w:sz w:val="22"/>
          <w:szCs w:val="22"/>
        </w:rPr>
        <w:t xml:space="preserve"> del </w:t>
      </w:r>
      <w:r w:rsidRPr="00E23F4C">
        <w:rPr>
          <w:rFonts w:ascii="Verdana" w:hAnsi="Verdana" w:cs="Arial"/>
          <w:smallCaps/>
          <w:sz w:val="22"/>
          <w:szCs w:val="22"/>
        </w:rPr>
        <w:t>Código Electoral</w:t>
      </w:r>
      <w:r>
        <w:rPr>
          <w:rFonts w:ascii="Verdana" w:hAnsi="Verdana" w:cs="Arial"/>
          <w:sz w:val="22"/>
          <w:szCs w:val="22"/>
        </w:rPr>
        <w:t xml:space="preserve">, por haber quedado sin materia. </w:t>
      </w:r>
    </w:p>
    <w:bookmarkEnd w:id="0"/>
    <w:p w14:paraId="10CEEF6C" w14:textId="78285051" w:rsidR="009C1068" w:rsidRPr="00FE32A7" w:rsidRDefault="00373BFA" w:rsidP="009C1068">
      <w:pPr>
        <w:spacing w:before="100" w:beforeAutospacing="1" w:after="100" w:afterAutospacing="1" w:line="360" w:lineRule="auto"/>
        <w:jc w:val="center"/>
        <w:rPr>
          <w:rFonts w:ascii="Verdana" w:hAnsi="Verdana" w:cs="Arial"/>
          <w:b/>
          <w:sz w:val="22"/>
          <w:szCs w:val="22"/>
        </w:rPr>
      </w:pPr>
      <w:r>
        <w:rPr>
          <w:rFonts w:ascii="Verdana" w:hAnsi="Verdana" w:cs="Arial"/>
          <w:b/>
          <w:sz w:val="22"/>
          <w:szCs w:val="22"/>
        </w:rPr>
        <w:t xml:space="preserve">IV. SE </w:t>
      </w:r>
      <w:r w:rsidR="009C1068" w:rsidRPr="00FE32A7">
        <w:rPr>
          <w:rFonts w:ascii="Verdana" w:hAnsi="Verdana" w:cs="Arial"/>
          <w:b/>
          <w:sz w:val="22"/>
          <w:szCs w:val="22"/>
        </w:rPr>
        <w:t>RESUELVE</w:t>
      </w:r>
    </w:p>
    <w:p w14:paraId="6DC3AAEB" w14:textId="319B8CE9" w:rsidR="009C1068" w:rsidRPr="00FE32A7" w:rsidRDefault="00DE6BA5" w:rsidP="009C1068">
      <w:pPr>
        <w:spacing w:before="100" w:beforeAutospacing="1" w:after="100" w:afterAutospacing="1" w:line="360" w:lineRule="auto"/>
        <w:ind w:right="51"/>
        <w:jc w:val="both"/>
        <w:rPr>
          <w:rFonts w:ascii="Verdana" w:hAnsi="Verdana" w:cs="Arial"/>
          <w:sz w:val="22"/>
          <w:szCs w:val="22"/>
        </w:rPr>
      </w:pPr>
      <w:r>
        <w:rPr>
          <w:rFonts w:ascii="Verdana" w:hAnsi="Verdana" w:cs="Arial"/>
          <w:b/>
          <w:bCs/>
          <w:sz w:val="22"/>
          <w:szCs w:val="22"/>
        </w:rPr>
        <w:lastRenderedPageBreak/>
        <w:t>ÚNICO</w:t>
      </w:r>
      <w:r w:rsidR="009C1068" w:rsidRPr="00FE32A7">
        <w:rPr>
          <w:rFonts w:ascii="Verdana" w:hAnsi="Verdana" w:cs="Arial"/>
          <w:b/>
          <w:bCs/>
          <w:sz w:val="22"/>
          <w:szCs w:val="22"/>
        </w:rPr>
        <w:t>.</w:t>
      </w:r>
      <w:r w:rsidR="009C1068" w:rsidRPr="00FE32A7">
        <w:rPr>
          <w:rFonts w:ascii="Verdana" w:hAnsi="Verdana" w:cs="Arial"/>
          <w:b/>
          <w:sz w:val="22"/>
          <w:szCs w:val="22"/>
        </w:rPr>
        <w:t xml:space="preserve"> </w:t>
      </w:r>
      <w:r w:rsidR="009C1068" w:rsidRPr="00FE32A7">
        <w:rPr>
          <w:rFonts w:ascii="Verdana" w:hAnsi="Verdana" w:cs="Arial"/>
          <w:bCs/>
          <w:sz w:val="22"/>
          <w:szCs w:val="22"/>
        </w:rPr>
        <w:t xml:space="preserve">Se </w:t>
      </w:r>
      <w:r w:rsidR="00373BFA">
        <w:rPr>
          <w:rFonts w:ascii="Verdana" w:hAnsi="Verdana" w:cs="Arial"/>
          <w:b/>
          <w:bCs/>
          <w:sz w:val="22"/>
          <w:szCs w:val="22"/>
        </w:rPr>
        <w:t>sobresee</w:t>
      </w:r>
      <w:r w:rsidR="009C1068" w:rsidRPr="00FE32A7">
        <w:rPr>
          <w:rFonts w:ascii="Verdana" w:hAnsi="Verdana" w:cs="Arial"/>
          <w:bCs/>
          <w:sz w:val="22"/>
          <w:szCs w:val="22"/>
        </w:rPr>
        <w:t xml:space="preserve"> </w:t>
      </w:r>
      <w:r w:rsidR="00D503F8">
        <w:rPr>
          <w:rFonts w:ascii="Verdana" w:hAnsi="Verdana" w:cs="Arial"/>
          <w:bCs/>
          <w:sz w:val="22"/>
          <w:szCs w:val="22"/>
        </w:rPr>
        <w:t xml:space="preserve">el medio de impugnación indicado al rubro en los términos expuestos </w:t>
      </w:r>
      <w:r w:rsidR="00FE6E35">
        <w:rPr>
          <w:rFonts w:ascii="Verdana" w:hAnsi="Verdana" w:cs="Arial"/>
          <w:bCs/>
          <w:sz w:val="22"/>
          <w:szCs w:val="22"/>
        </w:rPr>
        <w:t>en</w:t>
      </w:r>
      <w:r w:rsidR="00D503F8">
        <w:rPr>
          <w:rFonts w:ascii="Verdana" w:hAnsi="Verdana" w:cs="Arial"/>
          <w:bCs/>
          <w:sz w:val="22"/>
          <w:szCs w:val="22"/>
        </w:rPr>
        <w:t xml:space="preserve"> esta </w:t>
      </w:r>
      <w:r w:rsidR="007466BA">
        <w:rPr>
          <w:rFonts w:ascii="Verdana" w:hAnsi="Verdana" w:cs="Arial"/>
          <w:bCs/>
          <w:sz w:val="22"/>
          <w:szCs w:val="22"/>
        </w:rPr>
        <w:t>Sentencia</w:t>
      </w:r>
      <w:r w:rsidR="00D503F8">
        <w:rPr>
          <w:rFonts w:ascii="Verdana" w:hAnsi="Verdana" w:cs="Arial"/>
          <w:bCs/>
          <w:sz w:val="22"/>
          <w:szCs w:val="22"/>
        </w:rPr>
        <w:t xml:space="preserve">. </w:t>
      </w:r>
    </w:p>
    <w:p w14:paraId="0680EB6A" w14:textId="730F5948" w:rsidR="009C1068" w:rsidRPr="00FE32A7" w:rsidRDefault="009C1068" w:rsidP="009C1068">
      <w:pPr>
        <w:spacing w:before="100" w:beforeAutospacing="1" w:after="100" w:afterAutospacing="1" w:line="360" w:lineRule="auto"/>
        <w:jc w:val="both"/>
        <w:rPr>
          <w:rFonts w:ascii="Verdana" w:hAnsi="Verdana" w:cs="Arial"/>
          <w:smallCaps/>
          <w:sz w:val="22"/>
          <w:szCs w:val="22"/>
          <w:lang w:val="es-MX"/>
        </w:rPr>
      </w:pPr>
      <w:r w:rsidRPr="00FE32A7">
        <w:rPr>
          <w:rFonts w:ascii="Verdana" w:hAnsi="Verdana" w:cs="Tahoma"/>
          <w:b/>
          <w:sz w:val="22"/>
          <w:szCs w:val="22"/>
          <w:lang w:val="es-MX"/>
        </w:rPr>
        <w:t>NOTIFÍQUESE</w:t>
      </w:r>
      <w:r w:rsidRPr="00FE32A7">
        <w:rPr>
          <w:rFonts w:ascii="Verdana" w:hAnsi="Verdana" w:cs="Tahoma"/>
          <w:sz w:val="22"/>
          <w:szCs w:val="22"/>
          <w:lang w:val="es-MX"/>
        </w:rPr>
        <w:t xml:space="preserve"> </w:t>
      </w:r>
      <w:r w:rsidR="00E45428">
        <w:rPr>
          <w:rFonts w:ascii="Verdana" w:hAnsi="Verdana" w:cs="Tahoma"/>
          <w:sz w:val="22"/>
          <w:szCs w:val="22"/>
          <w:lang w:val="es-MX"/>
        </w:rPr>
        <w:t>como en derecho corresponda</w:t>
      </w:r>
      <w:r w:rsidRPr="00FE32A7">
        <w:rPr>
          <w:rFonts w:ascii="Verdana" w:hAnsi="Verdana" w:cs="Arial"/>
          <w:smallCaps/>
          <w:sz w:val="22"/>
          <w:szCs w:val="22"/>
          <w:lang w:val="es-MX"/>
        </w:rPr>
        <w:t>.</w:t>
      </w:r>
    </w:p>
    <w:p w14:paraId="1AD406AB" w14:textId="77777777" w:rsidR="009C1068" w:rsidRPr="00FE32A7" w:rsidRDefault="009C1068" w:rsidP="009C1068">
      <w:pPr>
        <w:pStyle w:val="NormalWeb"/>
        <w:widowControl w:val="0"/>
        <w:spacing w:line="360" w:lineRule="auto"/>
        <w:jc w:val="both"/>
        <w:rPr>
          <w:rFonts w:ascii="Verdana" w:hAnsi="Verdana"/>
          <w:sz w:val="22"/>
          <w:szCs w:val="22"/>
        </w:rPr>
      </w:pPr>
      <w:r w:rsidRPr="00FE32A7">
        <w:rPr>
          <w:rFonts w:ascii="Verdana" w:hAnsi="Verdana"/>
          <w:sz w:val="22"/>
          <w:szCs w:val="22"/>
        </w:rPr>
        <w:t>En su oportunidad, archívese este asunto como total y definitivamente concluido.</w:t>
      </w:r>
    </w:p>
    <w:p w14:paraId="3F0B90EE" w14:textId="10BCDE59" w:rsidR="009C1068" w:rsidRPr="00FE32A7" w:rsidRDefault="009C1068" w:rsidP="003A7CEF">
      <w:pPr>
        <w:widowControl w:val="0"/>
        <w:spacing w:before="100" w:beforeAutospacing="1" w:after="100" w:afterAutospacing="1" w:line="360" w:lineRule="auto"/>
        <w:jc w:val="both"/>
        <w:rPr>
          <w:rFonts w:ascii="Verdana" w:hAnsi="Verdana" w:cs="Tahoma"/>
          <w:b/>
          <w:sz w:val="22"/>
          <w:szCs w:val="22"/>
        </w:rPr>
      </w:pPr>
      <w:r w:rsidRPr="00FE32A7">
        <w:rPr>
          <w:rFonts w:ascii="Verdana" w:hAnsi="Verdana" w:cs="Arial"/>
          <w:sz w:val="22"/>
          <w:szCs w:val="22"/>
        </w:rPr>
        <w:t xml:space="preserve">Así lo resolvieron por </w:t>
      </w:r>
      <w:r w:rsidR="002C60BA">
        <w:rPr>
          <w:rFonts w:ascii="Verdana" w:hAnsi="Verdana" w:cs="Arial"/>
          <w:b/>
          <w:sz w:val="22"/>
          <w:szCs w:val="22"/>
        </w:rPr>
        <w:t>unanimidad</w:t>
      </w:r>
      <w:r w:rsidRPr="00FE32A7">
        <w:rPr>
          <w:rFonts w:ascii="Verdana" w:hAnsi="Verdana" w:cs="Arial"/>
          <w:b/>
          <w:sz w:val="22"/>
          <w:szCs w:val="22"/>
        </w:rPr>
        <w:t xml:space="preserve"> </w:t>
      </w:r>
      <w:r w:rsidRPr="00FE32A7">
        <w:rPr>
          <w:rFonts w:ascii="Verdana" w:hAnsi="Verdana" w:cs="Arial"/>
          <w:sz w:val="22"/>
          <w:szCs w:val="22"/>
        </w:rPr>
        <w:t>de votos las Magistraturas Héctor Salvador Hernández Gallegos, Magistra</w:t>
      </w:r>
      <w:r w:rsidR="00CD1205">
        <w:rPr>
          <w:rFonts w:ascii="Verdana" w:hAnsi="Verdana" w:cs="Arial"/>
          <w:sz w:val="22"/>
          <w:szCs w:val="22"/>
        </w:rPr>
        <w:t>tura que</w:t>
      </w:r>
      <w:r w:rsidRPr="00FE32A7">
        <w:rPr>
          <w:rFonts w:ascii="Verdana" w:hAnsi="Verdana" w:cs="Arial"/>
          <w:sz w:val="22"/>
          <w:szCs w:val="22"/>
        </w:rPr>
        <w:t xml:space="preserve"> Presid</w:t>
      </w:r>
      <w:r w:rsidR="00CD1205">
        <w:rPr>
          <w:rFonts w:ascii="Verdana" w:hAnsi="Verdana" w:cs="Arial"/>
          <w:sz w:val="22"/>
          <w:szCs w:val="22"/>
        </w:rPr>
        <w:t>e</w:t>
      </w:r>
      <w:r w:rsidR="009016C8">
        <w:rPr>
          <w:rFonts w:ascii="Verdana" w:hAnsi="Verdana" w:cs="Arial"/>
          <w:sz w:val="22"/>
          <w:szCs w:val="22"/>
        </w:rPr>
        <w:t>,</w:t>
      </w:r>
      <w:r w:rsidRPr="00FE32A7">
        <w:rPr>
          <w:rFonts w:ascii="Verdana" w:hAnsi="Verdana" w:cs="Arial"/>
          <w:sz w:val="22"/>
          <w:szCs w:val="22"/>
        </w:rPr>
        <w:t xml:space="preserve"> </w:t>
      </w:r>
      <w:r w:rsidR="009016C8" w:rsidRPr="00FE32A7">
        <w:rPr>
          <w:rFonts w:ascii="Verdana" w:hAnsi="Verdana" w:cs="Arial"/>
          <w:sz w:val="22"/>
          <w:szCs w:val="22"/>
        </w:rPr>
        <w:t>Magistrada Laura Hortensia Llamas Hernández</w:t>
      </w:r>
      <w:r w:rsidR="002C60BA">
        <w:rPr>
          <w:rFonts w:ascii="Verdana" w:hAnsi="Verdana" w:cs="Arial"/>
          <w:sz w:val="22"/>
          <w:szCs w:val="22"/>
        </w:rPr>
        <w:t>, quien emitió voto concurrente,</w:t>
      </w:r>
      <w:r w:rsidR="009016C8">
        <w:rPr>
          <w:rFonts w:ascii="Verdana" w:hAnsi="Verdana" w:cs="Arial"/>
          <w:sz w:val="22"/>
          <w:szCs w:val="22"/>
        </w:rPr>
        <w:t xml:space="preserve"> </w:t>
      </w:r>
      <w:r w:rsidRPr="00FE32A7">
        <w:rPr>
          <w:rFonts w:ascii="Verdana" w:hAnsi="Verdana" w:cs="Arial"/>
          <w:sz w:val="22"/>
          <w:szCs w:val="22"/>
        </w:rPr>
        <w:t>y</w:t>
      </w:r>
      <w:r w:rsidR="00E305AC" w:rsidRPr="00FE32A7">
        <w:rPr>
          <w:rFonts w:ascii="Verdana" w:hAnsi="Verdana" w:cs="Arial"/>
          <w:sz w:val="22"/>
          <w:szCs w:val="22"/>
        </w:rPr>
        <w:t xml:space="preserve"> </w:t>
      </w:r>
      <w:r w:rsidRPr="00FE32A7">
        <w:rPr>
          <w:rFonts w:ascii="Verdana" w:hAnsi="Verdana" w:cs="Arial"/>
          <w:sz w:val="22"/>
          <w:szCs w:val="22"/>
        </w:rPr>
        <w:t xml:space="preserve">el Magistrade en funciones Jesús </w:t>
      </w:r>
      <w:proofErr w:type="spellStart"/>
      <w:r w:rsidRPr="00FE32A7">
        <w:rPr>
          <w:rFonts w:ascii="Verdana" w:hAnsi="Verdana" w:cs="Arial"/>
          <w:sz w:val="22"/>
          <w:szCs w:val="22"/>
        </w:rPr>
        <w:t>Ociel</w:t>
      </w:r>
      <w:proofErr w:type="spellEnd"/>
      <w:r w:rsidRPr="00FE32A7">
        <w:rPr>
          <w:rFonts w:ascii="Verdana" w:hAnsi="Verdana" w:cs="Arial"/>
          <w:sz w:val="22"/>
          <w:szCs w:val="22"/>
        </w:rPr>
        <w:t xml:space="preserve"> Baena Saucedo</w:t>
      </w:r>
      <w:r w:rsidR="002C60BA">
        <w:rPr>
          <w:rFonts w:ascii="Verdana" w:hAnsi="Verdana" w:cs="Arial"/>
          <w:sz w:val="22"/>
          <w:szCs w:val="22"/>
        </w:rPr>
        <w:t xml:space="preserve">, </w:t>
      </w:r>
      <w:r w:rsidRPr="00FE32A7">
        <w:rPr>
          <w:rFonts w:ascii="Verdana" w:hAnsi="Verdana" w:cs="Arial"/>
          <w:sz w:val="22"/>
          <w:szCs w:val="22"/>
        </w:rPr>
        <w:t xml:space="preserve">mismos que actúan ante la Secretaría General de </w:t>
      </w:r>
      <w:r w:rsidR="00865526" w:rsidRPr="00FE32A7">
        <w:rPr>
          <w:rFonts w:ascii="Verdana" w:hAnsi="Verdana" w:cs="Arial"/>
          <w:sz w:val="22"/>
          <w:szCs w:val="22"/>
        </w:rPr>
        <w:t>A</w:t>
      </w:r>
      <w:r w:rsidRPr="00FE32A7">
        <w:rPr>
          <w:rFonts w:ascii="Verdana" w:hAnsi="Verdana" w:cs="Arial"/>
          <w:sz w:val="22"/>
          <w:szCs w:val="22"/>
        </w:rPr>
        <w:t>cuerdos en funciones, quién autoriza y da fe. Conste.</w:t>
      </w:r>
    </w:p>
    <w:tbl>
      <w:tblPr>
        <w:tblW w:w="9519" w:type="dxa"/>
        <w:tblInd w:w="-772" w:type="dxa"/>
        <w:tblLayout w:type="fixed"/>
        <w:tblLook w:val="04A0" w:firstRow="1" w:lastRow="0" w:firstColumn="1" w:lastColumn="0" w:noHBand="0" w:noVBand="1"/>
      </w:tblPr>
      <w:tblGrid>
        <w:gridCol w:w="4732"/>
        <w:gridCol w:w="4787"/>
      </w:tblGrid>
      <w:tr w:rsidR="00D1050D" w:rsidRPr="00F97C47" w14:paraId="698F1DA0" w14:textId="77777777" w:rsidTr="00D26C1D">
        <w:trPr>
          <w:trHeight w:val="949"/>
        </w:trPr>
        <w:tc>
          <w:tcPr>
            <w:tcW w:w="9519" w:type="dxa"/>
            <w:gridSpan w:val="2"/>
            <w:hideMark/>
          </w:tcPr>
          <w:p w14:paraId="105E6D44" w14:textId="77777777" w:rsidR="00D1050D" w:rsidRPr="00F97C47" w:rsidRDefault="00D1050D" w:rsidP="00E94A4A">
            <w:pPr>
              <w:pStyle w:val="NormalWeb"/>
              <w:spacing w:line="360" w:lineRule="auto"/>
              <w:jc w:val="center"/>
              <w:rPr>
                <w:rFonts w:ascii="Arial" w:hAnsi="Arial" w:cs="Arial"/>
                <w:b/>
                <w:bCs/>
                <w:sz w:val="22"/>
                <w:szCs w:val="22"/>
              </w:rPr>
            </w:pPr>
          </w:p>
          <w:p w14:paraId="11927EC1" w14:textId="7CD2B4F4" w:rsidR="00D1050D"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w:t>
            </w:r>
            <w:r w:rsidR="00DA6E69">
              <w:rPr>
                <w:rFonts w:ascii="Arial" w:hAnsi="Arial" w:cs="Arial"/>
                <w:b/>
                <w:bCs/>
                <w:sz w:val="22"/>
                <w:szCs w:val="22"/>
              </w:rPr>
              <w:t>AT</w:t>
            </w:r>
            <w:r w:rsidRPr="00F97C47">
              <w:rPr>
                <w:rFonts w:ascii="Arial" w:hAnsi="Arial" w:cs="Arial"/>
                <w:b/>
                <w:bCs/>
                <w:sz w:val="22"/>
                <w:szCs w:val="22"/>
              </w:rPr>
              <w:t>URA QUE PRESIDE</w:t>
            </w:r>
          </w:p>
          <w:p w14:paraId="3C157CAB" w14:textId="77F25657" w:rsidR="00D1050D" w:rsidRPr="00F97C47" w:rsidRDefault="00D1050D" w:rsidP="00E94A4A">
            <w:pPr>
              <w:pStyle w:val="NormalWeb"/>
              <w:spacing w:line="360" w:lineRule="auto"/>
              <w:jc w:val="center"/>
              <w:rPr>
                <w:rFonts w:ascii="Arial" w:hAnsi="Arial" w:cs="Arial"/>
                <w:b/>
                <w:bCs/>
                <w:sz w:val="22"/>
                <w:szCs w:val="22"/>
              </w:rPr>
            </w:pPr>
          </w:p>
          <w:p w14:paraId="1F5C7BB2" w14:textId="308B0293"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HÉCTOR SALVADOR HERNÁNDEZ GALLEGOS</w:t>
            </w:r>
          </w:p>
          <w:p w14:paraId="3A0231C2" w14:textId="77777777" w:rsidR="00D1050D" w:rsidRPr="00F97C47" w:rsidRDefault="00D1050D" w:rsidP="00E94A4A">
            <w:pPr>
              <w:pStyle w:val="NormalWeb"/>
              <w:spacing w:line="360" w:lineRule="auto"/>
              <w:jc w:val="center"/>
              <w:rPr>
                <w:rFonts w:ascii="Arial" w:hAnsi="Arial" w:cs="Arial"/>
                <w:b/>
                <w:bCs/>
                <w:sz w:val="22"/>
                <w:szCs w:val="22"/>
              </w:rPr>
            </w:pPr>
          </w:p>
          <w:p w14:paraId="013BAE01" w14:textId="77777777" w:rsidR="00D1050D" w:rsidRPr="00F97C47" w:rsidRDefault="00D1050D" w:rsidP="00E94A4A">
            <w:pPr>
              <w:pStyle w:val="NormalWeb"/>
              <w:spacing w:line="360" w:lineRule="auto"/>
              <w:jc w:val="center"/>
              <w:rPr>
                <w:rFonts w:ascii="Arial" w:hAnsi="Arial" w:cs="Arial"/>
                <w:b/>
                <w:bCs/>
                <w:sz w:val="22"/>
                <w:szCs w:val="22"/>
              </w:rPr>
            </w:pPr>
          </w:p>
        </w:tc>
      </w:tr>
      <w:tr w:rsidR="00D1050D" w:rsidRPr="00F97C47" w14:paraId="3B721994" w14:textId="77777777" w:rsidTr="00D26C1D">
        <w:tblPrEx>
          <w:tblLook w:val="0000" w:firstRow="0" w:lastRow="0" w:firstColumn="0" w:lastColumn="0" w:noHBand="0" w:noVBand="0"/>
        </w:tblPrEx>
        <w:trPr>
          <w:trHeight w:val="1246"/>
        </w:trPr>
        <w:tc>
          <w:tcPr>
            <w:tcW w:w="4732" w:type="dxa"/>
          </w:tcPr>
          <w:p w14:paraId="327064FC" w14:textId="5FCAA96D"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MAGISTRATURA</w:t>
            </w:r>
          </w:p>
          <w:p w14:paraId="1CDEDF08" w14:textId="028CBD4A" w:rsidR="00D1050D" w:rsidRPr="00F97C47" w:rsidRDefault="00D1050D" w:rsidP="00E94A4A">
            <w:pPr>
              <w:pStyle w:val="NormalWeb"/>
              <w:spacing w:line="360" w:lineRule="auto"/>
              <w:rPr>
                <w:rFonts w:ascii="Arial" w:hAnsi="Arial" w:cs="Arial"/>
                <w:b/>
                <w:bCs/>
                <w:sz w:val="22"/>
                <w:szCs w:val="22"/>
              </w:rPr>
            </w:pPr>
          </w:p>
          <w:p w14:paraId="2D1EF453" w14:textId="77777777"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LAURA HORTENSIA LLAMAS HERNÁNDEZ</w:t>
            </w:r>
          </w:p>
        </w:tc>
        <w:tc>
          <w:tcPr>
            <w:tcW w:w="4787" w:type="dxa"/>
          </w:tcPr>
          <w:p w14:paraId="178FD365" w14:textId="3A74E63C"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MAGISTRATURA EN FUNCIONES</w:t>
            </w:r>
          </w:p>
          <w:p w14:paraId="03AD88DC" w14:textId="5752762D" w:rsidR="00D1050D" w:rsidRPr="00F97C47" w:rsidRDefault="00D1050D" w:rsidP="00E94A4A">
            <w:pPr>
              <w:pStyle w:val="NormalWeb"/>
              <w:spacing w:line="360" w:lineRule="auto"/>
              <w:jc w:val="center"/>
              <w:rPr>
                <w:rFonts w:ascii="Arial" w:hAnsi="Arial" w:cs="Arial"/>
                <w:b/>
                <w:bCs/>
                <w:sz w:val="22"/>
                <w:szCs w:val="22"/>
              </w:rPr>
            </w:pPr>
          </w:p>
          <w:p w14:paraId="3368181F" w14:textId="281343B7"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JESÚS OCIEL BAENA SAUCEDO</w:t>
            </w:r>
          </w:p>
        </w:tc>
      </w:tr>
      <w:tr w:rsidR="00D1050D" w:rsidRPr="00F97C47" w14:paraId="4973498A" w14:textId="77777777" w:rsidTr="00D26C1D">
        <w:tblPrEx>
          <w:tblLook w:val="0000" w:firstRow="0" w:lastRow="0" w:firstColumn="0" w:lastColumn="0" w:noHBand="0" w:noVBand="0"/>
        </w:tblPrEx>
        <w:trPr>
          <w:trHeight w:val="740"/>
        </w:trPr>
        <w:tc>
          <w:tcPr>
            <w:tcW w:w="9519" w:type="dxa"/>
            <w:gridSpan w:val="2"/>
          </w:tcPr>
          <w:p w14:paraId="234C2513" w14:textId="594AD93A" w:rsidR="00D1050D" w:rsidRPr="00F97C47" w:rsidRDefault="00D1050D" w:rsidP="00E94A4A">
            <w:pPr>
              <w:pStyle w:val="NormalWeb"/>
              <w:spacing w:line="360" w:lineRule="auto"/>
              <w:jc w:val="center"/>
              <w:rPr>
                <w:rFonts w:ascii="Arial" w:hAnsi="Arial" w:cs="Arial"/>
                <w:b/>
                <w:bCs/>
                <w:sz w:val="22"/>
                <w:szCs w:val="22"/>
              </w:rPr>
            </w:pPr>
          </w:p>
          <w:p w14:paraId="3B37095E" w14:textId="31B14D5C"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SECRETARÍA GENERAL DE ACUERDOS EN FUNCIONES</w:t>
            </w:r>
          </w:p>
          <w:p w14:paraId="496F2F38" w14:textId="42F94D0E" w:rsidR="00D1050D" w:rsidRPr="00F97C47" w:rsidRDefault="00D1050D" w:rsidP="00E94A4A">
            <w:pPr>
              <w:pStyle w:val="NormalWeb"/>
              <w:spacing w:line="360" w:lineRule="auto"/>
              <w:jc w:val="center"/>
              <w:rPr>
                <w:rFonts w:ascii="Arial" w:hAnsi="Arial" w:cs="Arial"/>
                <w:b/>
                <w:bCs/>
                <w:sz w:val="22"/>
                <w:szCs w:val="22"/>
              </w:rPr>
            </w:pPr>
          </w:p>
        </w:tc>
      </w:tr>
      <w:tr w:rsidR="00D1050D" w:rsidRPr="00F97C47" w14:paraId="3151CCEE" w14:textId="77777777" w:rsidTr="00D26C1D">
        <w:tblPrEx>
          <w:tblLook w:val="0000" w:firstRow="0" w:lastRow="0" w:firstColumn="0" w:lastColumn="0" w:noHBand="0" w:noVBand="0"/>
        </w:tblPrEx>
        <w:trPr>
          <w:trHeight w:val="248"/>
        </w:trPr>
        <w:tc>
          <w:tcPr>
            <w:tcW w:w="9519" w:type="dxa"/>
            <w:gridSpan w:val="2"/>
          </w:tcPr>
          <w:p w14:paraId="66D916EF" w14:textId="0C0765DD" w:rsidR="00D1050D" w:rsidRPr="00F97C47" w:rsidRDefault="00D1050D" w:rsidP="00E94A4A">
            <w:pPr>
              <w:pStyle w:val="NormalWeb"/>
              <w:spacing w:line="360" w:lineRule="auto"/>
              <w:rPr>
                <w:rFonts w:ascii="Arial" w:hAnsi="Arial" w:cs="Arial"/>
                <w:b/>
                <w:bCs/>
                <w:sz w:val="22"/>
                <w:szCs w:val="22"/>
              </w:rPr>
            </w:pPr>
          </w:p>
        </w:tc>
      </w:tr>
      <w:tr w:rsidR="00D1050D" w:rsidRPr="00F97C47" w14:paraId="7E6DAF6E" w14:textId="77777777" w:rsidTr="00D26C1D">
        <w:tblPrEx>
          <w:tblLook w:val="0000" w:firstRow="0" w:lastRow="0" w:firstColumn="0" w:lastColumn="0" w:noHBand="0" w:noVBand="0"/>
        </w:tblPrEx>
        <w:trPr>
          <w:trHeight w:val="248"/>
        </w:trPr>
        <w:tc>
          <w:tcPr>
            <w:tcW w:w="9519" w:type="dxa"/>
            <w:gridSpan w:val="2"/>
          </w:tcPr>
          <w:p w14:paraId="2A2F94D6" w14:textId="0E00FAC5"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NESTOR ENRIQUE RIVERA LÓPEZ</w:t>
            </w:r>
          </w:p>
        </w:tc>
      </w:tr>
    </w:tbl>
    <w:p w14:paraId="2CB4711B" w14:textId="77777777" w:rsidR="00D1050D" w:rsidRPr="001B3A11" w:rsidRDefault="00D1050D" w:rsidP="00D1050D"/>
    <w:p w14:paraId="212A844B" w14:textId="338C9C10" w:rsidR="00D42224" w:rsidRDefault="00D42224">
      <w:pPr>
        <w:rPr>
          <w:rFonts w:ascii="Verdana" w:hAnsi="Verdana"/>
          <w:sz w:val="22"/>
          <w:szCs w:val="22"/>
        </w:rPr>
      </w:pPr>
    </w:p>
    <w:p w14:paraId="344BD1BA" w14:textId="5BB9A416" w:rsidR="00A917A7" w:rsidRDefault="00A917A7">
      <w:pPr>
        <w:rPr>
          <w:rFonts w:ascii="Verdana" w:hAnsi="Verdana"/>
          <w:sz w:val="22"/>
          <w:szCs w:val="22"/>
        </w:rPr>
      </w:pPr>
    </w:p>
    <w:p w14:paraId="7BD8BFD2" w14:textId="4543E7B4" w:rsidR="00A917A7" w:rsidRDefault="00A917A7">
      <w:pPr>
        <w:rPr>
          <w:rFonts w:ascii="Verdana" w:hAnsi="Verdana"/>
          <w:sz w:val="22"/>
          <w:szCs w:val="22"/>
        </w:rPr>
      </w:pPr>
    </w:p>
    <w:p w14:paraId="591CCD84" w14:textId="410514B9" w:rsidR="00A917A7" w:rsidRDefault="00A917A7">
      <w:pPr>
        <w:rPr>
          <w:rFonts w:ascii="Verdana" w:hAnsi="Verdana"/>
          <w:sz w:val="22"/>
          <w:szCs w:val="22"/>
        </w:rPr>
      </w:pPr>
    </w:p>
    <w:p w14:paraId="7AF8D9E4" w14:textId="37CBF41E" w:rsidR="00A917A7" w:rsidRDefault="00A917A7">
      <w:pPr>
        <w:rPr>
          <w:rFonts w:ascii="Verdana" w:hAnsi="Verdana"/>
          <w:sz w:val="22"/>
          <w:szCs w:val="22"/>
        </w:rPr>
      </w:pPr>
    </w:p>
    <w:p w14:paraId="2660F925" w14:textId="7142B689" w:rsidR="00A917A7" w:rsidRDefault="00A917A7">
      <w:pPr>
        <w:rPr>
          <w:rFonts w:ascii="Verdana" w:hAnsi="Verdana"/>
          <w:sz w:val="22"/>
          <w:szCs w:val="22"/>
        </w:rPr>
      </w:pPr>
    </w:p>
    <w:p w14:paraId="0B0CAF33" w14:textId="77777777" w:rsidR="00A917A7" w:rsidRDefault="00A917A7" w:rsidP="00A917A7">
      <w:pPr>
        <w:spacing w:line="360" w:lineRule="auto"/>
        <w:jc w:val="both"/>
        <w:rPr>
          <w:rFonts w:ascii="Arial" w:eastAsia="Arial" w:hAnsi="Arial" w:cs="Arial"/>
          <w:b/>
        </w:rPr>
      </w:pPr>
      <w:r>
        <w:rPr>
          <w:rFonts w:ascii="Arial" w:eastAsia="Arial" w:hAnsi="Arial" w:cs="Arial"/>
          <w:b/>
        </w:rPr>
        <w:t>VOTO CONCURRENTE</w:t>
      </w:r>
      <w:r>
        <w:rPr>
          <w:rFonts w:ascii="Arial" w:eastAsia="Arial" w:hAnsi="Arial" w:cs="Arial"/>
          <w:b/>
          <w:vertAlign w:val="superscript"/>
        </w:rPr>
        <w:footnoteReference w:id="14"/>
      </w:r>
      <w:r>
        <w:rPr>
          <w:rFonts w:ascii="Arial" w:eastAsia="Arial" w:hAnsi="Arial" w:cs="Arial"/>
          <w:b/>
        </w:rPr>
        <w:t xml:space="preserve"> QUE EMITE LA MAGISTRADA LAURA HORTENSIA LLAMAS HERNÁNDEZ EN EL RECURSO DE APELACIÓN TEEA-RAP-002/2023.</w:t>
      </w:r>
      <w:r>
        <w:rPr>
          <w:rFonts w:ascii="Arial" w:eastAsia="Arial" w:hAnsi="Arial" w:cs="Arial"/>
          <w:b/>
          <w:vertAlign w:val="superscript"/>
        </w:rPr>
        <w:footnoteReference w:id="15"/>
      </w:r>
      <w:r>
        <w:rPr>
          <w:rFonts w:ascii="Arial" w:eastAsia="Arial" w:hAnsi="Arial" w:cs="Arial"/>
          <w:b/>
        </w:rPr>
        <w:t xml:space="preserve"> </w:t>
      </w:r>
    </w:p>
    <w:p w14:paraId="00A9F6B2" w14:textId="77777777" w:rsidR="00A917A7" w:rsidRDefault="00A917A7" w:rsidP="00A917A7">
      <w:pPr>
        <w:pBdr>
          <w:top w:val="nil"/>
          <w:left w:val="nil"/>
          <w:bottom w:val="nil"/>
          <w:right w:val="nil"/>
          <w:between w:val="nil"/>
        </w:pBdr>
        <w:rPr>
          <w:color w:val="000000"/>
        </w:rPr>
      </w:pPr>
    </w:p>
    <w:p w14:paraId="1369C2DD" w14:textId="77777777" w:rsidR="00A917A7" w:rsidRDefault="00A917A7" w:rsidP="00A917A7">
      <w:pPr>
        <w:spacing w:line="360" w:lineRule="auto"/>
        <w:jc w:val="center"/>
        <w:rPr>
          <w:rFonts w:ascii="Arial" w:eastAsia="Arial" w:hAnsi="Arial" w:cs="Arial"/>
          <w:b/>
        </w:rPr>
      </w:pPr>
      <w:r>
        <w:rPr>
          <w:rFonts w:ascii="Arial" w:eastAsia="Arial" w:hAnsi="Arial" w:cs="Arial"/>
          <w:b/>
        </w:rPr>
        <w:t>Esquema</w:t>
      </w:r>
    </w:p>
    <w:p w14:paraId="5B65549A" w14:textId="77777777" w:rsidR="00A917A7" w:rsidRDefault="00A917A7" w:rsidP="00A917A7">
      <w:pPr>
        <w:spacing w:line="360" w:lineRule="auto"/>
        <w:jc w:val="both"/>
        <w:rPr>
          <w:rFonts w:ascii="Arial" w:eastAsia="Arial" w:hAnsi="Arial" w:cs="Arial"/>
          <w:b/>
        </w:rPr>
      </w:pPr>
      <w:r>
        <w:rPr>
          <w:rFonts w:ascii="Arial" w:eastAsia="Arial" w:hAnsi="Arial" w:cs="Arial"/>
          <w:b/>
          <w:u w:val="single"/>
        </w:rPr>
        <w:t>Apartado A.</w:t>
      </w:r>
      <w:r>
        <w:rPr>
          <w:rFonts w:ascii="Arial" w:eastAsia="Arial" w:hAnsi="Arial" w:cs="Arial"/>
        </w:rPr>
        <w:t xml:space="preserve"> </w:t>
      </w:r>
      <w:r>
        <w:rPr>
          <w:rFonts w:ascii="Arial" w:eastAsia="Arial" w:hAnsi="Arial" w:cs="Arial"/>
          <w:b/>
        </w:rPr>
        <w:t xml:space="preserve">Materia de la controversia ante el Tribunal Local </w:t>
      </w:r>
    </w:p>
    <w:p w14:paraId="596B85C0" w14:textId="77777777" w:rsidR="00A917A7" w:rsidRDefault="00A917A7" w:rsidP="00A917A7">
      <w:pPr>
        <w:numPr>
          <w:ilvl w:val="0"/>
          <w:numId w:val="28"/>
        </w:numPr>
        <w:pBdr>
          <w:top w:val="nil"/>
          <w:left w:val="nil"/>
          <w:bottom w:val="nil"/>
          <w:right w:val="nil"/>
          <w:between w:val="nil"/>
        </w:pBdr>
        <w:spacing w:before="0" w:after="0" w:line="360" w:lineRule="auto"/>
        <w:ind w:left="567"/>
        <w:jc w:val="both"/>
        <w:rPr>
          <w:rFonts w:ascii="Arial" w:eastAsia="Arial" w:hAnsi="Arial" w:cs="Arial"/>
          <w:color w:val="000000"/>
        </w:rPr>
      </w:pPr>
      <w:r>
        <w:rPr>
          <w:rFonts w:ascii="Arial" w:eastAsia="Arial" w:hAnsi="Arial" w:cs="Arial"/>
        </w:rPr>
        <w:t>O</w:t>
      </w:r>
      <w:r>
        <w:rPr>
          <w:rFonts w:ascii="Arial" w:eastAsia="Arial" w:hAnsi="Arial" w:cs="Arial"/>
          <w:color w:val="000000"/>
        </w:rPr>
        <w:t>rigen y cont</w:t>
      </w:r>
      <w:r>
        <w:rPr>
          <w:rFonts w:ascii="Arial" w:eastAsia="Arial" w:hAnsi="Arial" w:cs="Arial"/>
        </w:rPr>
        <w:t>exto</w:t>
      </w:r>
      <w:r>
        <w:rPr>
          <w:rFonts w:ascii="Arial" w:eastAsia="Arial" w:hAnsi="Arial" w:cs="Arial"/>
          <w:color w:val="000000"/>
        </w:rPr>
        <w:t xml:space="preserve"> del acuerdo (CG-A-06/23) del Consejo General, del que deriva la controversia</w:t>
      </w:r>
    </w:p>
    <w:p w14:paraId="0CF70B31" w14:textId="77777777" w:rsidR="00A917A7" w:rsidRDefault="00A917A7" w:rsidP="00A917A7">
      <w:pPr>
        <w:numPr>
          <w:ilvl w:val="0"/>
          <w:numId w:val="28"/>
        </w:numPr>
        <w:pBdr>
          <w:top w:val="nil"/>
          <w:left w:val="nil"/>
          <w:bottom w:val="nil"/>
          <w:right w:val="nil"/>
          <w:between w:val="nil"/>
        </w:pBdr>
        <w:spacing w:before="0" w:after="0" w:line="360" w:lineRule="auto"/>
        <w:ind w:left="567"/>
        <w:jc w:val="both"/>
        <w:rPr>
          <w:rFonts w:ascii="Arial" w:eastAsia="Arial" w:hAnsi="Arial" w:cs="Arial"/>
          <w:color w:val="000000"/>
        </w:rPr>
      </w:pPr>
      <w:r>
        <w:rPr>
          <w:rFonts w:ascii="Arial" w:eastAsia="Arial" w:hAnsi="Arial" w:cs="Arial"/>
          <w:color w:val="000000"/>
        </w:rPr>
        <w:t>Pretensión y planteamientos</w:t>
      </w:r>
    </w:p>
    <w:p w14:paraId="7C75149D" w14:textId="77777777" w:rsidR="00A917A7" w:rsidRDefault="00A917A7" w:rsidP="00A917A7">
      <w:pPr>
        <w:numPr>
          <w:ilvl w:val="0"/>
          <w:numId w:val="28"/>
        </w:numPr>
        <w:pBdr>
          <w:top w:val="nil"/>
          <w:left w:val="nil"/>
          <w:bottom w:val="nil"/>
          <w:right w:val="nil"/>
          <w:between w:val="nil"/>
        </w:pBdr>
        <w:spacing w:before="0" w:after="0" w:line="360" w:lineRule="auto"/>
        <w:ind w:left="567"/>
        <w:jc w:val="both"/>
        <w:rPr>
          <w:rFonts w:ascii="Arial" w:eastAsia="Arial" w:hAnsi="Arial" w:cs="Arial"/>
          <w:color w:val="000000"/>
        </w:rPr>
      </w:pPr>
      <w:r>
        <w:rPr>
          <w:rFonts w:ascii="Arial" w:eastAsia="Arial" w:hAnsi="Arial" w:cs="Arial"/>
          <w:color w:val="000000"/>
        </w:rPr>
        <w:t>Cuestión a resolver</w:t>
      </w:r>
    </w:p>
    <w:p w14:paraId="32A4C59E" w14:textId="77777777" w:rsidR="00A917A7" w:rsidRDefault="00A917A7" w:rsidP="00A917A7">
      <w:pPr>
        <w:spacing w:line="360" w:lineRule="auto"/>
        <w:jc w:val="both"/>
        <w:rPr>
          <w:rFonts w:ascii="Arial" w:eastAsia="Arial" w:hAnsi="Arial" w:cs="Arial"/>
          <w:b/>
        </w:rPr>
      </w:pPr>
      <w:r>
        <w:rPr>
          <w:rFonts w:ascii="Arial" w:eastAsia="Arial" w:hAnsi="Arial" w:cs="Arial"/>
          <w:b/>
          <w:u w:val="single"/>
        </w:rPr>
        <w:t>Apartado B.</w:t>
      </w:r>
      <w:r>
        <w:rPr>
          <w:rFonts w:ascii="Arial" w:eastAsia="Arial" w:hAnsi="Arial" w:cs="Arial"/>
        </w:rPr>
        <w:t xml:space="preserve"> </w:t>
      </w:r>
      <w:r>
        <w:rPr>
          <w:rFonts w:ascii="Arial" w:eastAsia="Arial" w:hAnsi="Arial" w:cs="Arial"/>
          <w:b/>
        </w:rPr>
        <w:t xml:space="preserve">Decisión del Tribunal Local </w:t>
      </w:r>
    </w:p>
    <w:p w14:paraId="763E1E87" w14:textId="77777777" w:rsidR="00A917A7" w:rsidRDefault="00A917A7" w:rsidP="00A917A7">
      <w:pPr>
        <w:spacing w:line="360" w:lineRule="auto"/>
        <w:jc w:val="both"/>
        <w:rPr>
          <w:rFonts w:ascii="Arial" w:eastAsia="Arial" w:hAnsi="Arial" w:cs="Arial"/>
          <w:b/>
        </w:rPr>
      </w:pPr>
      <w:r>
        <w:rPr>
          <w:rFonts w:ascii="Arial" w:eastAsia="Arial" w:hAnsi="Arial" w:cs="Arial"/>
          <w:b/>
          <w:u w:val="single"/>
        </w:rPr>
        <w:t>Apartado C.</w:t>
      </w:r>
      <w:r>
        <w:rPr>
          <w:rFonts w:ascii="Arial" w:eastAsia="Arial" w:hAnsi="Arial" w:cs="Arial"/>
          <w:b/>
        </w:rPr>
        <w:t xml:space="preserve"> Sentido del voto concurrente</w:t>
      </w:r>
    </w:p>
    <w:p w14:paraId="482622F8" w14:textId="77777777" w:rsidR="00A917A7" w:rsidRDefault="00A917A7" w:rsidP="00A917A7">
      <w:pPr>
        <w:spacing w:line="360" w:lineRule="auto"/>
        <w:jc w:val="both"/>
        <w:rPr>
          <w:rFonts w:ascii="Arial" w:eastAsia="Arial" w:hAnsi="Arial" w:cs="Arial"/>
          <w:b/>
        </w:rPr>
      </w:pPr>
      <w:r>
        <w:rPr>
          <w:rFonts w:ascii="Arial" w:eastAsia="Arial" w:hAnsi="Arial" w:cs="Arial"/>
          <w:b/>
          <w:u w:val="single"/>
        </w:rPr>
        <w:t>Apartado D.</w:t>
      </w:r>
      <w:r>
        <w:rPr>
          <w:rFonts w:ascii="Arial" w:eastAsia="Arial" w:hAnsi="Arial" w:cs="Arial"/>
          <w:b/>
        </w:rPr>
        <w:t xml:space="preserve"> Consideraciones del voto concurrente</w:t>
      </w:r>
    </w:p>
    <w:p w14:paraId="7A185CBB" w14:textId="77777777" w:rsidR="00A917A7" w:rsidRDefault="00A917A7" w:rsidP="00A917A7">
      <w:pPr>
        <w:numPr>
          <w:ilvl w:val="0"/>
          <w:numId w:val="29"/>
        </w:numPr>
        <w:pBdr>
          <w:top w:val="nil"/>
          <w:left w:val="nil"/>
          <w:bottom w:val="nil"/>
          <w:right w:val="nil"/>
          <w:between w:val="nil"/>
        </w:pBdr>
        <w:spacing w:before="0" w:after="0" w:line="360" w:lineRule="auto"/>
        <w:ind w:left="567"/>
        <w:jc w:val="both"/>
        <w:rPr>
          <w:rFonts w:ascii="Arial" w:eastAsia="Arial" w:hAnsi="Arial" w:cs="Arial"/>
          <w:color w:val="000000"/>
        </w:rPr>
      </w:pPr>
      <w:r>
        <w:rPr>
          <w:rFonts w:ascii="Arial" w:eastAsia="Arial" w:hAnsi="Arial" w:cs="Arial"/>
          <w:color w:val="000000"/>
        </w:rPr>
        <w:t>Marco normativo</w:t>
      </w:r>
    </w:p>
    <w:p w14:paraId="13AA6D91" w14:textId="77777777" w:rsidR="00A917A7" w:rsidRDefault="00A917A7" w:rsidP="00A917A7">
      <w:pPr>
        <w:numPr>
          <w:ilvl w:val="0"/>
          <w:numId w:val="29"/>
        </w:numPr>
        <w:pBdr>
          <w:top w:val="nil"/>
          <w:left w:val="nil"/>
          <w:bottom w:val="nil"/>
          <w:right w:val="nil"/>
          <w:between w:val="nil"/>
        </w:pBdr>
        <w:spacing w:before="0" w:after="0" w:line="360" w:lineRule="auto"/>
        <w:ind w:left="567"/>
        <w:jc w:val="both"/>
        <w:rPr>
          <w:rFonts w:ascii="Arial" w:eastAsia="Arial" w:hAnsi="Arial" w:cs="Arial"/>
          <w:color w:val="000000"/>
        </w:rPr>
      </w:pPr>
      <w:r>
        <w:rPr>
          <w:rFonts w:ascii="Arial" w:eastAsia="Arial" w:hAnsi="Arial" w:cs="Arial"/>
          <w:color w:val="000000"/>
        </w:rPr>
        <w:t>Caso concreto</w:t>
      </w:r>
    </w:p>
    <w:p w14:paraId="0C3A226E" w14:textId="77777777" w:rsidR="00A917A7" w:rsidRDefault="00A917A7" w:rsidP="00A917A7">
      <w:pPr>
        <w:numPr>
          <w:ilvl w:val="0"/>
          <w:numId w:val="29"/>
        </w:numPr>
        <w:pBdr>
          <w:top w:val="nil"/>
          <w:left w:val="nil"/>
          <w:bottom w:val="nil"/>
          <w:right w:val="nil"/>
          <w:between w:val="nil"/>
        </w:pBdr>
        <w:spacing w:before="0" w:after="0" w:line="360" w:lineRule="auto"/>
        <w:ind w:left="567"/>
        <w:jc w:val="both"/>
        <w:rPr>
          <w:rFonts w:ascii="Arial" w:eastAsia="Arial" w:hAnsi="Arial" w:cs="Arial"/>
          <w:color w:val="000000"/>
        </w:rPr>
      </w:pPr>
      <w:r>
        <w:rPr>
          <w:rFonts w:ascii="Arial" w:eastAsia="Arial" w:hAnsi="Arial" w:cs="Arial"/>
          <w:color w:val="000000"/>
        </w:rPr>
        <w:t>Valoración</w:t>
      </w:r>
    </w:p>
    <w:p w14:paraId="2D4785C4" w14:textId="77777777" w:rsidR="00A917A7" w:rsidRDefault="00A917A7" w:rsidP="00A917A7">
      <w:pPr>
        <w:pBdr>
          <w:top w:val="nil"/>
          <w:left w:val="nil"/>
          <w:bottom w:val="nil"/>
          <w:right w:val="nil"/>
          <w:between w:val="nil"/>
        </w:pBdr>
        <w:rPr>
          <w:color w:val="000000"/>
        </w:rPr>
      </w:pPr>
    </w:p>
    <w:p w14:paraId="2BE385B3" w14:textId="77777777" w:rsidR="00A917A7" w:rsidRDefault="00A917A7" w:rsidP="00A917A7">
      <w:pPr>
        <w:spacing w:line="360" w:lineRule="auto"/>
        <w:jc w:val="both"/>
        <w:rPr>
          <w:rFonts w:ascii="Arial" w:eastAsia="Arial" w:hAnsi="Arial" w:cs="Arial"/>
          <w:b/>
        </w:rPr>
      </w:pPr>
      <w:r>
        <w:rPr>
          <w:rFonts w:ascii="Arial" w:eastAsia="Arial" w:hAnsi="Arial" w:cs="Arial"/>
          <w:b/>
          <w:u w:val="single"/>
        </w:rPr>
        <w:t>Apartado A.</w:t>
      </w:r>
      <w:r>
        <w:rPr>
          <w:rFonts w:ascii="Arial" w:eastAsia="Arial" w:hAnsi="Arial" w:cs="Arial"/>
          <w:b/>
        </w:rPr>
        <w:t xml:space="preserve"> Materia de la controversia ante el Tribunal Local </w:t>
      </w:r>
    </w:p>
    <w:p w14:paraId="528CE12B" w14:textId="77777777" w:rsidR="00A917A7" w:rsidRDefault="00A917A7" w:rsidP="00A917A7">
      <w:pPr>
        <w:pBdr>
          <w:top w:val="nil"/>
          <w:left w:val="nil"/>
          <w:bottom w:val="nil"/>
          <w:right w:val="nil"/>
          <w:between w:val="nil"/>
        </w:pBdr>
        <w:rPr>
          <w:color w:val="000000"/>
        </w:rPr>
      </w:pPr>
    </w:p>
    <w:p w14:paraId="01A710DB" w14:textId="77777777" w:rsidR="00A917A7" w:rsidRDefault="00A917A7" w:rsidP="00A917A7">
      <w:pPr>
        <w:numPr>
          <w:ilvl w:val="0"/>
          <w:numId w:val="27"/>
        </w:numPr>
        <w:pBdr>
          <w:top w:val="nil"/>
          <w:left w:val="nil"/>
          <w:bottom w:val="nil"/>
          <w:right w:val="nil"/>
          <w:between w:val="nil"/>
        </w:pBdr>
        <w:spacing w:before="0" w:after="0" w:line="360" w:lineRule="auto"/>
        <w:ind w:left="426" w:hanging="426"/>
        <w:jc w:val="both"/>
      </w:pPr>
      <w:r>
        <w:rPr>
          <w:rFonts w:ascii="Arial" w:eastAsia="Arial" w:hAnsi="Arial" w:cs="Arial"/>
          <w:b/>
          <w:color w:val="000000"/>
        </w:rPr>
        <w:t>Origen y contexto del acuerdo (CG-A-06/23) del Consejo General, del que deriva la controversia</w:t>
      </w:r>
    </w:p>
    <w:p w14:paraId="013E5A0F" w14:textId="77777777" w:rsidR="00A917A7" w:rsidRDefault="00A917A7" w:rsidP="00A917A7">
      <w:pPr>
        <w:pStyle w:val="Sinespaciado"/>
        <w:rPr>
          <w:rFonts w:eastAsia="Arial"/>
        </w:rPr>
      </w:pPr>
    </w:p>
    <w:p w14:paraId="5011A347" w14:textId="77777777" w:rsidR="00A917A7" w:rsidRDefault="00A917A7" w:rsidP="00A917A7">
      <w:pPr>
        <w:spacing w:line="360" w:lineRule="auto"/>
        <w:jc w:val="both"/>
        <w:rPr>
          <w:rFonts w:ascii="Arial" w:eastAsia="Arial" w:hAnsi="Arial" w:cs="Arial"/>
        </w:rPr>
      </w:pPr>
      <w:r>
        <w:rPr>
          <w:rFonts w:ascii="Arial" w:eastAsia="Arial" w:hAnsi="Arial" w:cs="Arial"/>
          <w:b/>
          <w:i/>
        </w:rPr>
        <w:t>i)</w:t>
      </w:r>
      <w:r>
        <w:rPr>
          <w:rFonts w:ascii="Arial" w:eastAsia="Arial" w:hAnsi="Arial" w:cs="Arial"/>
          <w:b/>
        </w:rPr>
        <w:t xml:space="preserve"> Acuerdo impugnado.</w:t>
      </w:r>
      <w:r>
        <w:rPr>
          <w:rFonts w:ascii="Arial" w:eastAsia="Arial" w:hAnsi="Arial" w:cs="Arial"/>
        </w:rPr>
        <w:t xml:space="preserve"> La presente controversia tiene su origen en el acuerdo (</w:t>
      </w:r>
      <w:r w:rsidRPr="00D3525A">
        <w:rPr>
          <w:rFonts w:ascii="Arial" w:eastAsia="Arial" w:hAnsi="Arial" w:cs="Arial"/>
          <w:b/>
          <w:bCs/>
        </w:rPr>
        <w:t>CG-A-01/23</w:t>
      </w:r>
      <w:r>
        <w:rPr>
          <w:rFonts w:ascii="Arial" w:eastAsia="Arial" w:hAnsi="Arial" w:cs="Arial"/>
          <w:b/>
          <w:bCs/>
        </w:rPr>
        <w:t>)</w:t>
      </w:r>
      <w:r>
        <w:rPr>
          <w:rFonts w:ascii="Arial" w:eastAsia="Arial" w:hAnsi="Arial" w:cs="Arial"/>
          <w:vertAlign w:val="superscript"/>
        </w:rPr>
        <w:footnoteReference w:id="16"/>
      </w:r>
      <w:r>
        <w:rPr>
          <w:rFonts w:ascii="Arial" w:eastAsia="Arial" w:hAnsi="Arial" w:cs="Arial"/>
        </w:rPr>
        <w:t xml:space="preserve"> del Consejo General del Instituto Local, que tuvo como fin, entre otros, aprobar la distribución del financiamiento público estatal a los partidos políticos para su gasto ordinario y actividades específicas correspondiente al ejercicio fiscal del año 2023. </w:t>
      </w:r>
    </w:p>
    <w:p w14:paraId="4FB1B81D" w14:textId="77777777" w:rsidR="00A917A7" w:rsidRDefault="00A917A7" w:rsidP="00A917A7">
      <w:pPr>
        <w:pStyle w:val="Sinespaciado"/>
        <w:rPr>
          <w:rFonts w:eastAsia="Arial"/>
        </w:rPr>
      </w:pPr>
    </w:p>
    <w:p w14:paraId="6FF10F8B" w14:textId="77777777" w:rsidR="00A917A7" w:rsidRDefault="00A917A7" w:rsidP="00A917A7">
      <w:pPr>
        <w:spacing w:line="360" w:lineRule="auto"/>
        <w:jc w:val="both"/>
        <w:rPr>
          <w:rFonts w:ascii="Arial" w:eastAsia="Arial" w:hAnsi="Arial" w:cs="Arial"/>
        </w:rPr>
      </w:pPr>
      <w:proofErr w:type="spellStart"/>
      <w:r>
        <w:rPr>
          <w:rFonts w:ascii="Arial" w:eastAsia="Arial" w:hAnsi="Arial" w:cs="Arial"/>
          <w:b/>
          <w:i/>
        </w:rPr>
        <w:lastRenderedPageBreak/>
        <w:t>ii</w:t>
      </w:r>
      <w:proofErr w:type="spellEnd"/>
      <w:r>
        <w:rPr>
          <w:rFonts w:ascii="Arial" w:eastAsia="Arial" w:hAnsi="Arial" w:cs="Arial"/>
          <w:b/>
          <w:i/>
        </w:rPr>
        <w:t>)</w:t>
      </w:r>
      <w:r>
        <w:rPr>
          <w:rFonts w:ascii="Arial" w:eastAsia="Arial" w:hAnsi="Arial" w:cs="Arial"/>
          <w:b/>
        </w:rPr>
        <w:t xml:space="preserve"> TEEA-RAP-001/2023.</w:t>
      </w:r>
      <w:r>
        <w:rPr>
          <w:rFonts w:ascii="Arial" w:eastAsia="Arial" w:hAnsi="Arial" w:cs="Arial"/>
        </w:rPr>
        <w:t xml:space="preserve"> Inconforme, el 18 de enero el PVEM presentó un recurso de apelación en el que hizo valer diversas inconsistencias del acuerdo en comento, en particular, la incorrecta aplicación de los artículos 33 y 35 del Código Electoral, lo que tuvo como consecuencia negarle su derecho al financiamiento público. Al respecto, el 7 de febrero, este órgano jurisdiccional emitió sentencia en la que </w:t>
      </w:r>
      <w:r w:rsidRPr="00D3525A">
        <w:rPr>
          <w:rFonts w:ascii="Arial" w:eastAsia="Arial" w:hAnsi="Arial" w:cs="Arial"/>
          <w:b/>
          <w:bCs/>
        </w:rPr>
        <w:t>revocó el acto impugnado</w:t>
      </w:r>
      <w:r>
        <w:rPr>
          <w:rFonts w:ascii="Arial" w:eastAsia="Arial" w:hAnsi="Arial" w:cs="Arial"/>
        </w:rPr>
        <w:t xml:space="preserve"> al considerarse fundados los motivos de agravio del recurrente y, por tanto, </w:t>
      </w:r>
      <w:r w:rsidRPr="00D3525A">
        <w:rPr>
          <w:rFonts w:ascii="Arial" w:eastAsia="Arial" w:hAnsi="Arial" w:cs="Arial"/>
          <w:b/>
          <w:bCs/>
        </w:rPr>
        <w:t>ordenó al Consejo General la emisión de un nuevo acuerdo</w:t>
      </w:r>
      <w:r>
        <w:rPr>
          <w:rFonts w:ascii="Arial" w:eastAsia="Arial" w:hAnsi="Arial" w:cs="Arial"/>
        </w:rPr>
        <w:t xml:space="preserve"> en el que se otorgue el correspondiente financiamiento público al PVEM. </w:t>
      </w:r>
    </w:p>
    <w:p w14:paraId="0DEE2DA0" w14:textId="77777777" w:rsidR="00A917A7" w:rsidRDefault="00A917A7" w:rsidP="00A917A7">
      <w:pPr>
        <w:pStyle w:val="Sinespaciado"/>
        <w:rPr>
          <w:rFonts w:eastAsia="Arial"/>
        </w:rPr>
      </w:pPr>
    </w:p>
    <w:p w14:paraId="05591CC9" w14:textId="77777777" w:rsidR="00A917A7" w:rsidRDefault="00A917A7" w:rsidP="00A917A7">
      <w:pPr>
        <w:spacing w:line="360" w:lineRule="auto"/>
        <w:jc w:val="both"/>
        <w:rPr>
          <w:rFonts w:ascii="Arial" w:eastAsia="Arial" w:hAnsi="Arial" w:cs="Arial"/>
        </w:rPr>
      </w:pPr>
      <w:proofErr w:type="spellStart"/>
      <w:r>
        <w:rPr>
          <w:rFonts w:ascii="Arial" w:eastAsia="Arial" w:hAnsi="Arial" w:cs="Arial"/>
          <w:b/>
          <w:i/>
        </w:rPr>
        <w:t>iii</w:t>
      </w:r>
      <w:proofErr w:type="spellEnd"/>
      <w:r>
        <w:rPr>
          <w:rFonts w:ascii="Arial" w:eastAsia="Arial" w:hAnsi="Arial" w:cs="Arial"/>
          <w:b/>
          <w:i/>
        </w:rPr>
        <w:t xml:space="preserve">) </w:t>
      </w:r>
      <w:r w:rsidRPr="00D3525A">
        <w:rPr>
          <w:rFonts w:ascii="Arial" w:eastAsia="Arial" w:hAnsi="Arial" w:cs="Arial"/>
          <w:b/>
          <w:iCs/>
        </w:rPr>
        <w:t>TEEA-RAP-003/2023</w:t>
      </w:r>
      <w:r>
        <w:rPr>
          <w:rFonts w:ascii="Arial" w:eastAsia="Arial" w:hAnsi="Arial" w:cs="Arial"/>
        </w:rPr>
        <w:t>. Ahora bien, luego del reencauzamiento decidido por los órganos de revisión,</w:t>
      </w:r>
      <w:r>
        <w:rPr>
          <w:rFonts w:ascii="Arial" w:eastAsia="Arial" w:hAnsi="Arial" w:cs="Arial"/>
          <w:vertAlign w:val="superscript"/>
        </w:rPr>
        <w:footnoteReference w:id="17"/>
      </w:r>
      <w:r>
        <w:rPr>
          <w:rFonts w:ascii="Arial" w:eastAsia="Arial" w:hAnsi="Arial" w:cs="Arial"/>
        </w:rPr>
        <w:t xml:space="preserve"> el mismo 7 de febrero, se recibió en este tribunal el medio de impugnación que nos ocupa, es decir, el presentado por Movimiento Ciudadano en contra </w:t>
      </w:r>
      <w:r w:rsidRPr="00D3525A">
        <w:rPr>
          <w:rFonts w:ascii="Arial" w:eastAsia="Arial" w:hAnsi="Arial" w:cs="Arial"/>
          <w:b/>
          <w:bCs/>
        </w:rPr>
        <w:t xml:space="preserve">del mismo acuerdo </w:t>
      </w:r>
      <w:r>
        <w:rPr>
          <w:rFonts w:ascii="Arial" w:eastAsia="Arial" w:hAnsi="Arial" w:cs="Arial"/>
          <w:b/>
          <w:bCs/>
        </w:rPr>
        <w:t>(</w:t>
      </w:r>
      <w:r w:rsidRPr="00D3525A">
        <w:rPr>
          <w:rFonts w:ascii="Arial" w:eastAsia="Arial" w:hAnsi="Arial" w:cs="Arial"/>
          <w:b/>
          <w:bCs/>
        </w:rPr>
        <w:t>CG-A-01/23</w:t>
      </w:r>
      <w:r>
        <w:rPr>
          <w:rFonts w:ascii="Arial" w:eastAsia="Arial" w:hAnsi="Arial" w:cs="Arial"/>
          <w:b/>
          <w:bCs/>
        </w:rPr>
        <w:t>)</w:t>
      </w:r>
      <w:r>
        <w:rPr>
          <w:rFonts w:ascii="Arial" w:eastAsia="Arial" w:hAnsi="Arial" w:cs="Arial"/>
        </w:rPr>
        <w:t>.</w:t>
      </w:r>
    </w:p>
    <w:p w14:paraId="46B1ED56" w14:textId="77777777" w:rsidR="00A917A7" w:rsidRDefault="00A917A7" w:rsidP="00A917A7">
      <w:pPr>
        <w:pStyle w:val="Sinespaciado"/>
        <w:rPr>
          <w:rFonts w:eastAsia="Arial"/>
        </w:rPr>
      </w:pPr>
    </w:p>
    <w:p w14:paraId="32EADD6D" w14:textId="77777777" w:rsidR="00A917A7" w:rsidRDefault="00A917A7" w:rsidP="00A917A7">
      <w:pPr>
        <w:spacing w:line="360" w:lineRule="auto"/>
        <w:jc w:val="both"/>
        <w:rPr>
          <w:rFonts w:ascii="Arial" w:eastAsia="Arial" w:hAnsi="Arial" w:cs="Arial"/>
        </w:rPr>
      </w:pPr>
      <w:proofErr w:type="spellStart"/>
      <w:r>
        <w:rPr>
          <w:rFonts w:ascii="Arial" w:eastAsia="Arial" w:hAnsi="Arial" w:cs="Arial"/>
          <w:b/>
          <w:i/>
        </w:rPr>
        <w:t>iv</w:t>
      </w:r>
      <w:proofErr w:type="spellEnd"/>
      <w:r>
        <w:rPr>
          <w:rFonts w:ascii="Arial" w:eastAsia="Arial" w:hAnsi="Arial" w:cs="Arial"/>
          <w:b/>
          <w:i/>
        </w:rPr>
        <w:t>)</w:t>
      </w:r>
      <w:r>
        <w:rPr>
          <w:rFonts w:ascii="Arial" w:eastAsia="Arial" w:hAnsi="Arial" w:cs="Arial"/>
          <w:b/>
        </w:rPr>
        <w:t xml:space="preserve"> Cumplimiento a la sentencia TEEA-RAP-001/2023</w:t>
      </w:r>
      <w:r>
        <w:rPr>
          <w:rFonts w:ascii="Arial" w:eastAsia="Arial" w:hAnsi="Arial" w:cs="Arial"/>
        </w:rPr>
        <w:t xml:space="preserve">. Es importante mencionar que en consecuencia a lo ordenado en el recurso de apelación (TEEA-RAP-001/2023), el 20 de febrero el Consejo General emitió el </w:t>
      </w:r>
      <w:r w:rsidRPr="00D3525A">
        <w:rPr>
          <w:rFonts w:ascii="Arial" w:eastAsia="Arial" w:hAnsi="Arial" w:cs="Arial"/>
          <w:b/>
          <w:bCs/>
        </w:rPr>
        <w:t xml:space="preserve">acuerdo </w:t>
      </w:r>
      <w:r>
        <w:rPr>
          <w:rFonts w:ascii="Arial" w:eastAsia="Arial" w:hAnsi="Arial" w:cs="Arial"/>
          <w:b/>
          <w:bCs/>
        </w:rPr>
        <w:t>(</w:t>
      </w:r>
      <w:r w:rsidRPr="00D3525A">
        <w:rPr>
          <w:rFonts w:ascii="Arial" w:eastAsia="Arial" w:hAnsi="Arial" w:cs="Arial"/>
          <w:b/>
          <w:bCs/>
        </w:rPr>
        <w:t>CG-A-06/23</w:t>
      </w:r>
      <w:r>
        <w:rPr>
          <w:rFonts w:ascii="Arial" w:eastAsia="Arial" w:hAnsi="Arial" w:cs="Arial"/>
          <w:b/>
          <w:bCs/>
        </w:rPr>
        <w:t>)</w:t>
      </w:r>
      <w:r>
        <w:rPr>
          <w:rFonts w:ascii="Arial" w:eastAsia="Arial" w:hAnsi="Arial" w:cs="Arial"/>
        </w:rPr>
        <w:t>, en el que realizó nuevamente la distribución del financiamiento público estatal a los partidos políticos, esta vez tomando en consideración al PVEM.</w:t>
      </w:r>
    </w:p>
    <w:p w14:paraId="773D68A0" w14:textId="77777777" w:rsidR="00A917A7" w:rsidRDefault="00A917A7" w:rsidP="00A917A7">
      <w:pPr>
        <w:pStyle w:val="Sinespaciado"/>
        <w:rPr>
          <w:rFonts w:eastAsia="Arial"/>
        </w:rPr>
      </w:pPr>
    </w:p>
    <w:p w14:paraId="09E3ADA7" w14:textId="77777777" w:rsidR="00A917A7" w:rsidRDefault="00A917A7" w:rsidP="00A917A7">
      <w:pPr>
        <w:spacing w:line="360" w:lineRule="auto"/>
        <w:jc w:val="both"/>
        <w:rPr>
          <w:rFonts w:ascii="Arial" w:eastAsia="Arial" w:hAnsi="Arial" w:cs="Arial"/>
        </w:rPr>
      </w:pPr>
      <w:r>
        <w:rPr>
          <w:rFonts w:ascii="Arial" w:eastAsia="Arial" w:hAnsi="Arial" w:cs="Arial"/>
          <w:b/>
        </w:rPr>
        <w:t xml:space="preserve">2. Pretensión y planteamientos. </w:t>
      </w:r>
      <w:r>
        <w:rPr>
          <w:rFonts w:ascii="Arial" w:eastAsia="Arial" w:hAnsi="Arial" w:cs="Arial"/>
        </w:rPr>
        <w:t xml:space="preserve">Como se adelantó, el partido Movimiento Ciudadano pretende que se </w:t>
      </w:r>
      <w:r>
        <w:rPr>
          <w:rFonts w:ascii="Arial" w:eastAsia="Arial" w:hAnsi="Arial" w:cs="Arial"/>
          <w:b/>
        </w:rPr>
        <w:t>revoque</w:t>
      </w:r>
      <w:r>
        <w:rPr>
          <w:rFonts w:ascii="Arial" w:eastAsia="Arial" w:hAnsi="Arial" w:cs="Arial"/>
        </w:rPr>
        <w:t xml:space="preserve"> el acuerdo </w:t>
      </w:r>
      <w:r w:rsidRPr="00707EA7">
        <w:rPr>
          <w:rFonts w:ascii="Arial" w:eastAsia="Arial" w:hAnsi="Arial" w:cs="Arial"/>
          <w:b/>
          <w:bCs/>
        </w:rPr>
        <w:t>(</w:t>
      </w:r>
      <w:r w:rsidRPr="00D3525A">
        <w:rPr>
          <w:rFonts w:ascii="Arial" w:eastAsia="Arial" w:hAnsi="Arial" w:cs="Arial"/>
          <w:b/>
          <w:bCs/>
        </w:rPr>
        <w:t>CG-A-01/23</w:t>
      </w:r>
      <w:r>
        <w:rPr>
          <w:rFonts w:ascii="Arial" w:eastAsia="Arial" w:hAnsi="Arial" w:cs="Arial"/>
          <w:b/>
          <w:bCs/>
        </w:rPr>
        <w:t>)</w:t>
      </w:r>
      <w:r>
        <w:rPr>
          <w:rFonts w:ascii="Arial" w:eastAsia="Arial" w:hAnsi="Arial" w:cs="Arial"/>
        </w:rPr>
        <w:t xml:space="preserve"> del Consejo General, dado que, desde su perspectiva, se otorgó de manera incorrecta y en menor proporción las prerrogativas constitucionales y legales que le corresponden, ya que se debieron inaplicar los artículos 33 y 35 del Código Electoral a fin de considerar el porcentaje de votos emitido en la elección inmediata anterior, lo que llevaría a evidenciar la representatividad efectiva del instituto político en ese momento.  </w:t>
      </w:r>
    </w:p>
    <w:p w14:paraId="7E8985F4" w14:textId="77777777" w:rsidR="00A917A7" w:rsidRDefault="00A917A7" w:rsidP="00A917A7">
      <w:pPr>
        <w:pStyle w:val="Sinespaciado"/>
        <w:rPr>
          <w:rFonts w:eastAsia="Arial"/>
        </w:rPr>
      </w:pPr>
    </w:p>
    <w:p w14:paraId="7CE4DADF" w14:textId="77777777" w:rsidR="00A917A7" w:rsidRDefault="00A917A7" w:rsidP="00A917A7">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rPr>
        <w:t xml:space="preserve">3. Cuestión a resolver. </w:t>
      </w:r>
      <w:r>
        <w:rPr>
          <w:rFonts w:ascii="Arial" w:eastAsia="Arial" w:hAnsi="Arial" w:cs="Arial"/>
          <w:color w:val="000000"/>
        </w:rPr>
        <w:t xml:space="preserve">Desde mi perspectiva, considero que la materia de la controversia consiste en definir lo siguiente: </w:t>
      </w:r>
    </w:p>
    <w:p w14:paraId="72AD9951" w14:textId="77777777" w:rsidR="00A917A7" w:rsidRDefault="00A917A7" w:rsidP="00A917A7">
      <w:pPr>
        <w:pBdr>
          <w:top w:val="nil"/>
          <w:left w:val="nil"/>
          <w:bottom w:val="nil"/>
          <w:right w:val="nil"/>
          <w:between w:val="nil"/>
        </w:pBdr>
        <w:rPr>
          <w:color w:val="000000"/>
        </w:rPr>
      </w:pPr>
    </w:p>
    <w:p w14:paraId="08DF9F75" w14:textId="77777777" w:rsidR="00A917A7" w:rsidRPr="000E3748" w:rsidRDefault="00A917A7" w:rsidP="00A917A7">
      <w:pPr>
        <w:numPr>
          <w:ilvl w:val="0"/>
          <w:numId w:val="25"/>
        </w:numPr>
        <w:pBdr>
          <w:top w:val="nil"/>
          <w:left w:val="nil"/>
          <w:bottom w:val="nil"/>
          <w:right w:val="nil"/>
          <w:between w:val="nil"/>
        </w:pBdr>
        <w:tabs>
          <w:tab w:val="left" w:pos="284"/>
        </w:tabs>
        <w:spacing w:before="0" w:after="0" w:line="360" w:lineRule="auto"/>
        <w:ind w:left="0" w:firstLine="0"/>
        <w:jc w:val="both"/>
        <w:rPr>
          <w:rFonts w:ascii="Arial" w:eastAsia="Arial" w:hAnsi="Arial" w:cs="Arial"/>
          <w:color w:val="000000"/>
        </w:rPr>
      </w:pPr>
      <w:r>
        <w:rPr>
          <w:rFonts w:ascii="Arial" w:eastAsia="Arial" w:hAnsi="Arial" w:cs="Arial"/>
          <w:color w:val="000000"/>
        </w:rPr>
        <w:lastRenderedPageBreak/>
        <w:t>¿Si</w:t>
      </w:r>
      <w:r>
        <w:rPr>
          <w:rFonts w:ascii="Arial" w:eastAsia="Arial" w:hAnsi="Arial" w:cs="Arial"/>
        </w:rPr>
        <w:t xml:space="preserve"> el acto impugnado cesó sus efectos con la aprobación del acuerdo (CG-A-06/23) emitido en cumplimiento a lo ordenado por este órgano jurisdiccional en la sentencia (TEEA-RAP-001/2023) o bien, tal efecto se provocó a partir de la revocación por este Tribunal</w:t>
      </w:r>
      <w:r>
        <w:rPr>
          <w:rFonts w:ascii="Arial" w:eastAsia="Arial" w:hAnsi="Arial" w:cs="Arial"/>
          <w:color w:val="000000"/>
        </w:rPr>
        <w:t xml:space="preserve">? </w:t>
      </w:r>
    </w:p>
    <w:p w14:paraId="05F4F5B1" w14:textId="77777777" w:rsidR="00A917A7" w:rsidRDefault="00A917A7" w:rsidP="00A917A7">
      <w:pPr>
        <w:spacing w:line="360" w:lineRule="auto"/>
        <w:jc w:val="both"/>
        <w:rPr>
          <w:rFonts w:ascii="Arial" w:eastAsia="Arial" w:hAnsi="Arial" w:cs="Arial"/>
          <w:b/>
          <w:u w:val="single"/>
        </w:rPr>
      </w:pPr>
    </w:p>
    <w:p w14:paraId="218244E5" w14:textId="77777777" w:rsidR="00A917A7" w:rsidRDefault="00A917A7" w:rsidP="00A917A7">
      <w:pPr>
        <w:spacing w:line="360" w:lineRule="auto"/>
        <w:jc w:val="both"/>
        <w:rPr>
          <w:rFonts w:ascii="Arial" w:eastAsia="Arial" w:hAnsi="Arial" w:cs="Arial"/>
          <w:b/>
        </w:rPr>
      </w:pPr>
      <w:r>
        <w:rPr>
          <w:rFonts w:ascii="Arial" w:eastAsia="Arial" w:hAnsi="Arial" w:cs="Arial"/>
          <w:b/>
          <w:u w:val="single"/>
        </w:rPr>
        <w:t>Apartado B.</w:t>
      </w:r>
      <w:r>
        <w:rPr>
          <w:rFonts w:ascii="Arial" w:eastAsia="Arial" w:hAnsi="Arial" w:cs="Arial"/>
          <w:b/>
        </w:rPr>
        <w:t xml:space="preserve"> Decisión del Tribunal Local </w:t>
      </w:r>
    </w:p>
    <w:p w14:paraId="1D99C482" w14:textId="77777777" w:rsidR="00A917A7" w:rsidRDefault="00A917A7" w:rsidP="00A917A7">
      <w:pPr>
        <w:pStyle w:val="Sinespaciado"/>
        <w:rPr>
          <w:rFonts w:eastAsia="Arial"/>
        </w:rPr>
      </w:pPr>
    </w:p>
    <w:p w14:paraId="2F14755C" w14:textId="77777777" w:rsidR="00A917A7" w:rsidRDefault="00A917A7" w:rsidP="00A917A7">
      <w:pPr>
        <w:spacing w:line="360" w:lineRule="auto"/>
        <w:jc w:val="both"/>
        <w:rPr>
          <w:rFonts w:ascii="Arial" w:eastAsia="Arial" w:hAnsi="Arial" w:cs="Arial"/>
        </w:rPr>
      </w:pPr>
      <w:r>
        <w:rPr>
          <w:rFonts w:ascii="Arial" w:eastAsia="Arial" w:hAnsi="Arial" w:cs="Arial"/>
        </w:rPr>
        <w:t xml:space="preserve">Este órgano jurisdiccional decidió </w:t>
      </w:r>
      <w:r w:rsidRPr="00707EA7">
        <w:rPr>
          <w:rFonts w:ascii="Arial" w:eastAsia="Arial" w:hAnsi="Arial" w:cs="Arial"/>
          <w:b/>
          <w:bCs/>
        </w:rPr>
        <w:t>sobreseer</w:t>
      </w:r>
      <w:r>
        <w:rPr>
          <w:rFonts w:ascii="Arial" w:eastAsia="Arial" w:hAnsi="Arial" w:cs="Arial"/>
        </w:rPr>
        <w:t xml:space="preserve"> el recurso de apelación presentado por Movimiento Ciudadano en contra del acuerdo (CG-A-01/23) del Consejo General, dado que se actualizó un cambio de situación jurídica que tuvo como consecuencia dejarlo sin materia, ello </w:t>
      </w:r>
      <w:r w:rsidRPr="00D3525A">
        <w:rPr>
          <w:rFonts w:ascii="Arial" w:eastAsia="Arial" w:hAnsi="Arial" w:cs="Arial"/>
          <w:b/>
          <w:bCs/>
        </w:rPr>
        <w:t>con sustento en la aprobación del acuerdo CG-A-06/23</w:t>
      </w:r>
      <w:r>
        <w:rPr>
          <w:rFonts w:ascii="Arial" w:eastAsia="Arial" w:hAnsi="Arial" w:cs="Arial"/>
        </w:rPr>
        <w:t xml:space="preserve"> emitido en cumplimiento a la sentencia TEEA-RAP-001/2023 de este órgano jurisdiccional. </w:t>
      </w:r>
    </w:p>
    <w:p w14:paraId="3EE724DC" w14:textId="77777777" w:rsidR="00A917A7" w:rsidRDefault="00A917A7" w:rsidP="00A917A7">
      <w:pPr>
        <w:pStyle w:val="Sinespaciado"/>
        <w:rPr>
          <w:rFonts w:eastAsia="Arial"/>
        </w:rPr>
      </w:pPr>
    </w:p>
    <w:p w14:paraId="447DEEFA" w14:textId="77777777" w:rsidR="00A917A7" w:rsidRPr="000E3748" w:rsidRDefault="00A917A7" w:rsidP="00A917A7">
      <w:pPr>
        <w:spacing w:line="360" w:lineRule="auto"/>
        <w:jc w:val="both"/>
        <w:rPr>
          <w:rFonts w:ascii="Arial" w:eastAsia="Arial" w:hAnsi="Arial" w:cs="Arial"/>
          <w:b/>
        </w:rPr>
      </w:pPr>
      <w:r>
        <w:rPr>
          <w:rFonts w:ascii="Arial" w:eastAsia="Arial" w:hAnsi="Arial" w:cs="Arial"/>
          <w:b/>
          <w:u w:val="single"/>
        </w:rPr>
        <w:t>Apartado C.</w:t>
      </w:r>
      <w:r>
        <w:rPr>
          <w:rFonts w:ascii="Arial" w:eastAsia="Arial" w:hAnsi="Arial" w:cs="Arial"/>
          <w:b/>
        </w:rPr>
        <w:t xml:space="preserve"> Sentido del voto concurrente</w:t>
      </w:r>
    </w:p>
    <w:p w14:paraId="2E45CB9B" w14:textId="77777777" w:rsidR="00A917A7" w:rsidRPr="00D3525A" w:rsidRDefault="00A917A7" w:rsidP="00A917A7">
      <w:pPr>
        <w:spacing w:before="240" w:after="240" w:line="360" w:lineRule="auto"/>
        <w:jc w:val="both"/>
        <w:rPr>
          <w:rFonts w:ascii="Arial" w:eastAsia="Arial" w:hAnsi="Arial" w:cs="Arial"/>
        </w:rPr>
      </w:pPr>
      <w:r>
        <w:rPr>
          <w:rFonts w:ascii="Arial" w:eastAsia="Arial" w:hAnsi="Arial" w:cs="Arial"/>
        </w:rPr>
        <w:t xml:space="preserve">La suscrita comparto el sentido del proyecto que se somete a nuestra consideración, ya que considero correcto sobreseer el presente medio de impugnación, no obstante, </w:t>
      </w:r>
      <w:r w:rsidRPr="00707EA7">
        <w:rPr>
          <w:rFonts w:ascii="Arial" w:eastAsia="Arial" w:hAnsi="Arial" w:cs="Arial"/>
          <w:b/>
          <w:bCs/>
        </w:rPr>
        <w:t>disiento de las consideraciones que motivan el proyecto propuesto</w:t>
      </w:r>
      <w:r>
        <w:rPr>
          <w:rFonts w:ascii="Arial" w:eastAsia="Arial" w:hAnsi="Arial" w:cs="Arial"/>
        </w:rPr>
        <w:t xml:space="preserve">, concretamente, la justificación de sobreseer el asunto </w:t>
      </w:r>
      <w:r w:rsidRPr="00D3525A">
        <w:rPr>
          <w:rFonts w:ascii="Arial" w:eastAsia="Arial" w:hAnsi="Arial" w:cs="Arial"/>
          <w:b/>
          <w:bCs/>
        </w:rPr>
        <w:t>a partir del acuerdo (</w:t>
      </w:r>
      <w:r w:rsidRPr="00D3525A">
        <w:rPr>
          <w:rFonts w:ascii="Arial" w:eastAsia="Verdana" w:hAnsi="Arial" w:cs="Arial"/>
          <w:b/>
          <w:bCs/>
        </w:rPr>
        <w:t>CG-A-06/23</w:t>
      </w:r>
      <w:r w:rsidRPr="00D3525A">
        <w:rPr>
          <w:rFonts w:ascii="Arial" w:eastAsia="Arial" w:hAnsi="Arial" w:cs="Arial"/>
          <w:b/>
          <w:bCs/>
        </w:rPr>
        <w:t xml:space="preserve">) </w:t>
      </w:r>
      <w:r w:rsidRPr="00D3525A">
        <w:rPr>
          <w:rFonts w:ascii="Arial" w:eastAsia="Arial" w:hAnsi="Arial" w:cs="Arial"/>
        </w:rPr>
        <w:t xml:space="preserve">emitido por el Instituto Local, en cumplimiento al acto </w:t>
      </w:r>
      <w:r>
        <w:rPr>
          <w:rFonts w:ascii="Arial" w:eastAsia="Arial" w:hAnsi="Arial" w:cs="Arial"/>
        </w:rPr>
        <w:t>(</w:t>
      </w:r>
      <w:r w:rsidRPr="00D3525A">
        <w:rPr>
          <w:rFonts w:ascii="Arial" w:eastAsia="Arial" w:hAnsi="Arial" w:cs="Arial"/>
        </w:rPr>
        <w:t>acuerdo CG-A-</w:t>
      </w:r>
      <w:r>
        <w:rPr>
          <w:rFonts w:ascii="Arial" w:eastAsia="Arial" w:hAnsi="Arial" w:cs="Arial"/>
        </w:rPr>
        <w:t xml:space="preserve">01/23) que fue revocado por este Tribunal </w:t>
      </w:r>
      <w:r w:rsidRPr="00D3525A">
        <w:rPr>
          <w:rFonts w:ascii="Arial" w:eastAsia="Arial" w:hAnsi="Arial" w:cs="Arial"/>
        </w:rPr>
        <w:t>Electoral a través de la sentencia (</w:t>
      </w:r>
      <w:r w:rsidRPr="00D3525A">
        <w:rPr>
          <w:rFonts w:ascii="Arial" w:eastAsia="Verdana" w:hAnsi="Arial" w:cs="Arial"/>
        </w:rPr>
        <w:t>TEEA-RAP-001/2023</w:t>
      </w:r>
      <w:r w:rsidRPr="00D3525A">
        <w:rPr>
          <w:rFonts w:ascii="Arial" w:eastAsia="Arial" w:hAnsi="Arial" w:cs="Arial"/>
        </w:rPr>
        <w:t>).</w:t>
      </w:r>
    </w:p>
    <w:p w14:paraId="46A0CA88" w14:textId="77777777" w:rsidR="00A917A7" w:rsidRPr="000E3748" w:rsidRDefault="00A917A7" w:rsidP="00A917A7">
      <w:pPr>
        <w:spacing w:before="240" w:after="240" w:line="360" w:lineRule="auto"/>
        <w:jc w:val="both"/>
        <w:rPr>
          <w:rFonts w:ascii="Arial" w:eastAsia="Arial" w:hAnsi="Arial" w:cs="Arial"/>
        </w:rPr>
      </w:pPr>
      <w:r>
        <w:rPr>
          <w:rFonts w:ascii="Arial" w:eastAsia="Arial" w:hAnsi="Arial" w:cs="Arial"/>
        </w:rPr>
        <w:t xml:space="preserve">Lo anterior se debe a que, de acuerdo al marco normativo que existe en materia de improcedencias, específicamente por sobreseimiento, </w:t>
      </w:r>
      <w:r w:rsidRPr="00D3525A">
        <w:rPr>
          <w:rFonts w:ascii="Arial" w:eastAsia="Arial" w:hAnsi="Arial" w:cs="Arial"/>
          <w:b/>
          <w:bCs/>
        </w:rPr>
        <w:t>no era necesario</w:t>
      </w:r>
      <w:r>
        <w:rPr>
          <w:rFonts w:ascii="Arial" w:eastAsia="Arial" w:hAnsi="Arial" w:cs="Arial"/>
        </w:rPr>
        <w:t xml:space="preserve"> </w:t>
      </w:r>
      <w:r w:rsidRPr="00D3525A">
        <w:rPr>
          <w:rFonts w:ascii="Arial" w:eastAsia="Arial" w:hAnsi="Arial" w:cs="Arial"/>
          <w:b/>
          <w:bCs/>
        </w:rPr>
        <w:t>condicionar la elaboración del proyecto propuesto a la emisión del acuerdo</w:t>
      </w:r>
      <w:r>
        <w:rPr>
          <w:rFonts w:ascii="Arial" w:eastAsia="Arial" w:hAnsi="Arial" w:cs="Arial"/>
        </w:rPr>
        <w:t xml:space="preserve"> en materia de financiamiento público emitido por el Instituto Local, y con menor razón, al acuerdo plenario de cumplimiento emitido por este Tribunal en consecuencia de la emisión de dicho acto, pues tal tratamiento, en mi opinión, </w:t>
      </w:r>
      <w:r w:rsidRPr="00D3525A">
        <w:rPr>
          <w:rFonts w:ascii="Arial" w:eastAsia="Arial" w:hAnsi="Arial" w:cs="Arial"/>
          <w:b/>
          <w:bCs/>
          <w:u w:val="single"/>
        </w:rPr>
        <w:t>implicó una afectación a la adecuada administración de justicia</w:t>
      </w:r>
      <w:r>
        <w:rPr>
          <w:rFonts w:ascii="Arial" w:eastAsia="Arial" w:hAnsi="Arial" w:cs="Arial"/>
        </w:rPr>
        <w:t xml:space="preserve"> que exige el artículo 17 de la Constitución General. </w:t>
      </w:r>
    </w:p>
    <w:p w14:paraId="2186995A" w14:textId="77777777" w:rsidR="00A917A7" w:rsidRDefault="00A917A7" w:rsidP="00A917A7">
      <w:pPr>
        <w:spacing w:line="360" w:lineRule="auto"/>
        <w:jc w:val="both"/>
        <w:rPr>
          <w:rFonts w:ascii="Arial" w:eastAsia="Arial" w:hAnsi="Arial" w:cs="Arial"/>
          <w:b/>
        </w:rPr>
      </w:pPr>
      <w:r>
        <w:rPr>
          <w:rFonts w:ascii="Arial" w:eastAsia="Arial" w:hAnsi="Arial" w:cs="Arial"/>
          <w:b/>
          <w:u w:val="single"/>
        </w:rPr>
        <w:t>Apartado D.</w:t>
      </w:r>
      <w:r>
        <w:rPr>
          <w:rFonts w:ascii="Arial" w:eastAsia="Arial" w:hAnsi="Arial" w:cs="Arial"/>
          <w:b/>
        </w:rPr>
        <w:t xml:space="preserve"> Consideraciones del voto concurrente</w:t>
      </w:r>
    </w:p>
    <w:p w14:paraId="43B5D249" w14:textId="77777777" w:rsidR="00A917A7" w:rsidRDefault="00A917A7" w:rsidP="00A917A7">
      <w:pPr>
        <w:pBdr>
          <w:top w:val="nil"/>
          <w:left w:val="nil"/>
          <w:bottom w:val="nil"/>
          <w:right w:val="nil"/>
          <w:between w:val="nil"/>
        </w:pBdr>
        <w:rPr>
          <w:color w:val="000000"/>
          <w:sz w:val="18"/>
          <w:szCs w:val="18"/>
        </w:rPr>
      </w:pPr>
    </w:p>
    <w:p w14:paraId="31510407" w14:textId="77777777" w:rsidR="00A917A7" w:rsidRDefault="00A917A7" w:rsidP="00A917A7">
      <w:pPr>
        <w:numPr>
          <w:ilvl w:val="0"/>
          <w:numId w:val="26"/>
        </w:numPr>
        <w:pBdr>
          <w:top w:val="nil"/>
          <w:left w:val="nil"/>
          <w:bottom w:val="nil"/>
          <w:right w:val="nil"/>
          <w:between w:val="nil"/>
        </w:pBdr>
        <w:spacing w:before="0" w:after="160" w:line="360" w:lineRule="auto"/>
        <w:ind w:left="426" w:hanging="426"/>
        <w:jc w:val="both"/>
        <w:rPr>
          <w:rFonts w:ascii="Arial" w:eastAsia="Arial" w:hAnsi="Arial" w:cs="Arial"/>
          <w:b/>
          <w:color w:val="000000"/>
        </w:rPr>
      </w:pPr>
      <w:r>
        <w:rPr>
          <w:rFonts w:ascii="Arial" w:eastAsia="Arial" w:hAnsi="Arial" w:cs="Arial"/>
          <w:b/>
          <w:color w:val="000000"/>
        </w:rPr>
        <w:t>Marco normativo</w:t>
      </w:r>
    </w:p>
    <w:p w14:paraId="0C143B4A"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lastRenderedPageBreak/>
        <w:t>Como correctamente se sostuvo en el marco normativo de la decisión adoptada por la mayoría, cuando cesa o desaparece la controversia en virtud de que sobreviene un nuevo acto que extingue el anteriormente impugnado, la controversia queda sin materia, por lo que se vuelve inviable continuar con el estudio del asunto.</w:t>
      </w:r>
    </w:p>
    <w:p w14:paraId="7F3348F1"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No obstante, en materia de improcedencia de los medios de impugnación derivado de un cambio en la situación jurídica de las partes, la Sala Superior ha determinado que los requisitos establecidos tanto en la norma, como en la jurisprudencia, tienen un alcance mayor.</w:t>
      </w:r>
    </w:p>
    <w:p w14:paraId="6D823531"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Lo anterior, al sostener que el cambio de situación jurídica puede acontecer, </w:t>
      </w:r>
      <w:r w:rsidRPr="00707EA7">
        <w:rPr>
          <w:rFonts w:ascii="Arial" w:eastAsia="Arial" w:hAnsi="Arial" w:cs="Arial"/>
          <w:b/>
          <w:u w:val="single"/>
        </w:rPr>
        <w:t>no solo por los actos realizados por las autoridades responsables</w:t>
      </w:r>
      <w:r>
        <w:rPr>
          <w:rFonts w:ascii="Arial" w:eastAsia="Arial" w:hAnsi="Arial" w:cs="Arial"/>
        </w:rPr>
        <w:t xml:space="preserve"> -tal y como lo establece la jurisprudencia 34/2002- sino </w:t>
      </w:r>
      <w:r>
        <w:rPr>
          <w:rFonts w:ascii="Arial" w:eastAsia="Arial" w:hAnsi="Arial" w:cs="Arial"/>
          <w:b/>
        </w:rPr>
        <w:t xml:space="preserve">también por hechos o actos jurídicos que, </w:t>
      </w:r>
      <w:proofErr w:type="spellStart"/>
      <w:r>
        <w:rPr>
          <w:rFonts w:ascii="Arial" w:eastAsia="Arial" w:hAnsi="Arial" w:cs="Arial"/>
          <w:b/>
        </w:rPr>
        <w:t>aún</w:t>
      </w:r>
      <w:proofErr w:type="spellEnd"/>
      <w:r>
        <w:rPr>
          <w:rFonts w:ascii="Arial" w:eastAsia="Arial" w:hAnsi="Arial" w:cs="Arial"/>
          <w:b/>
        </w:rPr>
        <w:t xml:space="preserve"> cuando </w:t>
      </w:r>
      <w:r w:rsidRPr="00707EA7">
        <w:rPr>
          <w:rFonts w:ascii="Arial" w:eastAsia="Arial" w:hAnsi="Arial" w:cs="Arial"/>
          <w:b/>
          <w:u w:val="single"/>
        </w:rPr>
        <w:t>no provengan de tales autoridades</w:t>
      </w:r>
      <w:r>
        <w:rPr>
          <w:rFonts w:ascii="Arial" w:eastAsia="Arial" w:hAnsi="Arial" w:cs="Arial"/>
          <w:b/>
        </w:rPr>
        <w:t>, pero sí de una autoridad competente y dotada de jurisdicción</w:t>
      </w:r>
      <w:r>
        <w:rPr>
          <w:rFonts w:ascii="Arial" w:eastAsia="Arial" w:hAnsi="Arial" w:cs="Arial"/>
        </w:rPr>
        <w:t xml:space="preserve">, </w:t>
      </w:r>
      <w:r w:rsidRPr="00707EA7">
        <w:rPr>
          <w:rFonts w:ascii="Arial" w:eastAsia="Arial" w:hAnsi="Arial" w:cs="Arial"/>
          <w:b/>
          <w:bCs/>
          <w:u w:val="single"/>
        </w:rPr>
        <w:t>tengan como efecto inmediato impedir el examen de las pretensiones hechas valer en el juicio</w:t>
      </w:r>
      <w:r>
        <w:rPr>
          <w:rFonts w:ascii="Arial" w:eastAsia="Arial" w:hAnsi="Arial" w:cs="Arial"/>
        </w:rPr>
        <w:t xml:space="preserve"> y, en consecuencia, el dictado de una resolución de fondo.</w:t>
      </w:r>
      <w:r>
        <w:rPr>
          <w:rStyle w:val="Refdenotaalpie"/>
          <w:rFonts w:ascii="Arial" w:eastAsia="Arial" w:hAnsi="Arial" w:cs="Arial"/>
        </w:rPr>
        <w:footnoteReference w:id="18"/>
      </w:r>
      <w:r>
        <w:rPr>
          <w:rFonts w:ascii="Arial" w:eastAsia="Arial" w:hAnsi="Arial" w:cs="Arial"/>
        </w:rPr>
        <w:t xml:space="preserve">  </w:t>
      </w:r>
    </w:p>
    <w:p w14:paraId="373F8B84" w14:textId="77777777" w:rsidR="00A917A7" w:rsidRPr="00707EA7" w:rsidRDefault="00A917A7" w:rsidP="00A917A7">
      <w:pPr>
        <w:spacing w:before="240" w:after="240" w:line="360" w:lineRule="auto"/>
        <w:jc w:val="both"/>
        <w:rPr>
          <w:rFonts w:ascii="Arial" w:eastAsia="Arial" w:hAnsi="Arial" w:cs="Arial"/>
          <w:b/>
          <w:bCs/>
          <w:u w:val="single"/>
        </w:rPr>
      </w:pPr>
      <w:r>
        <w:rPr>
          <w:rFonts w:ascii="Arial" w:eastAsia="Arial" w:hAnsi="Arial" w:cs="Arial"/>
        </w:rPr>
        <w:t xml:space="preserve">De lo abordado, podemos concluir que la Sala Superior generó una evolución en la aplicación de dicho criterio, al sostener que no es estrictamente necesario que sea la autoridad señalada como responsable quien emita un nuevo, que deje sin efectos o cambie la situación jurídica primigenia del impugnante, sino que, también </w:t>
      </w:r>
      <w:r w:rsidRPr="00707EA7">
        <w:rPr>
          <w:rFonts w:ascii="Arial" w:eastAsia="Arial" w:hAnsi="Arial" w:cs="Arial"/>
          <w:b/>
          <w:bCs/>
          <w:u w:val="single"/>
        </w:rPr>
        <w:t>reconoce que las autoridades jurisdiccionales, a través de la emisión de sus sentencias, pueden provocar el cese o cambio en los efectos del acto impugnado</w:t>
      </w:r>
      <w:r>
        <w:rPr>
          <w:rFonts w:ascii="Arial" w:eastAsia="Arial" w:hAnsi="Arial" w:cs="Arial"/>
          <w:b/>
          <w:bCs/>
          <w:u w:val="single"/>
        </w:rPr>
        <w:t xml:space="preserve"> y, por tanto, su sobreseimiento. </w:t>
      </w:r>
    </w:p>
    <w:p w14:paraId="1BD82464" w14:textId="77777777" w:rsidR="00A917A7" w:rsidRDefault="00A917A7" w:rsidP="00A917A7">
      <w:pPr>
        <w:spacing w:line="360" w:lineRule="auto"/>
        <w:rPr>
          <w:rFonts w:ascii="Arial" w:eastAsia="Arial" w:hAnsi="Arial" w:cs="Arial"/>
          <w:b/>
        </w:rPr>
      </w:pPr>
      <w:r>
        <w:rPr>
          <w:rFonts w:ascii="Arial" w:eastAsia="Arial" w:hAnsi="Arial" w:cs="Arial"/>
          <w:b/>
        </w:rPr>
        <w:t>2. Caso concreto</w:t>
      </w:r>
    </w:p>
    <w:p w14:paraId="4DF8D736"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La mayoría de las magistraturas consideran que el presente recurso de apelación debe sobreseerse, al estimar que el acuerdo (CG-A-01/23) impugnado -mediante el cual se aprobó la distribución del financiamiento público estatal a partidos políticos- quedó sin materia. Esto, derivado de que el Consejo General emitió un nuevo acuerdo (CG-A-06/23), en atención a la sentencia emitida por este Tribunal Electoral que revocó dicho acuerdo.</w:t>
      </w:r>
    </w:p>
    <w:p w14:paraId="5E650603"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lastRenderedPageBreak/>
        <w:t xml:space="preserve">De ahí que las magistraturas consideran que, el hecho de que el Consejo General ya hubiese dado cumplimiento a la sentencia de este órgano jurisdiccional y, que incluso, este Tribunal ya haya emitido el acuerdo de cumplimiento en dicho expediente, implica que la controversia aducida por el partido actor, haya quedado sin efectos. </w:t>
      </w:r>
    </w:p>
    <w:p w14:paraId="64A4814C" w14:textId="77777777" w:rsidR="00A917A7" w:rsidRPr="00D3525A" w:rsidRDefault="00A917A7" w:rsidP="00A917A7">
      <w:pPr>
        <w:spacing w:line="360" w:lineRule="auto"/>
        <w:jc w:val="both"/>
        <w:rPr>
          <w:rFonts w:ascii="Arial" w:eastAsia="Arial" w:hAnsi="Arial" w:cs="Arial"/>
          <w:b/>
        </w:rPr>
      </w:pPr>
      <w:r>
        <w:rPr>
          <w:rFonts w:ascii="Arial" w:eastAsia="Arial" w:hAnsi="Arial" w:cs="Arial"/>
          <w:b/>
        </w:rPr>
        <w:t>3. Valoración</w:t>
      </w:r>
    </w:p>
    <w:p w14:paraId="16012325" w14:textId="77777777" w:rsidR="00A917A7" w:rsidRPr="00D3525A" w:rsidRDefault="00A917A7" w:rsidP="00A917A7">
      <w:pPr>
        <w:spacing w:before="240" w:after="240" w:line="360" w:lineRule="auto"/>
        <w:jc w:val="both"/>
        <w:rPr>
          <w:rFonts w:ascii="Arial" w:eastAsia="Arial" w:hAnsi="Arial" w:cs="Arial"/>
        </w:rPr>
      </w:pPr>
      <w:r>
        <w:rPr>
          <w:rFonts w:ascii="Arial" w:eastAsia="Arial" w:hAnsi="Arial" w:cs="Arial"/>
        </w:rPr>
        <w:t xml:space="preserve">La suscrita comparto el sentido del proyecto que se somete a nuestra consideración, ya que considero correcto sobreseer el presente medio de impugnación, no obstante, disiento de las consideraciones que motivan el proyecto propuesto y, por tanto, al trato que se le dio al asunto, concretamente, la justificación de sobreseer el asunto </w:t>
      </w:r>
      <w:r w:rsidRPr="00D3525A">
        <w:rPr>
          <w:rFonts w:ascii="Arial" w:eastAsia="Arial" w:hAnsi="Arial" w:cs="Arial"/>
          <w:b/>
          <w:bCs/>
        </w:rPr>
        <w:t>a partir del acuerdo (</w:t>
      </w:r>
      <w:r w:rsidRPr="00D3525A">
        <w:rPr>
          <w:rFonts w:ascii="Arial" w:eastAsia="Verdana" w:hAnsi="Arial" w:cs="Arial"/>
          <w:b/>
          <w:bCs/>
        </w:rPr>
        <w:t>CG-A-06/23</w:t>
      </w:r>
      <w:r w:rsidRPr="00D3525A">
        <w:rPr>
          <w:rFonts w:ascii="Arial" w:eastAsia="Arial" w:hAnsi="Arial" w:cs="Arial"/>
          <w:b/>
          <w:bCs/>
        </w:rPr>
        <w:t xml:space="preserve">) </w:t>
      </w:r>
      <w:r w:rsidRPr="00D3525A">
        <w:rPr>
          <w:rFonts w:ascii="Arial" w:eastAsia="Arial" w:hAnsi="Arial" w:cs="Arial"/>
        </w:rPr>
        <w:t>emitido por el Instituto Local, en cumplimiento al acto (acuerdo CG-A-</w:t>
      </w:r>
      <w:r>
        <w:rPr>
          <w:rFonts w:ascii="Arial" w:eastAsia="Arial" w:hAnsi="Arial" w:cs="Arial"/>
        </w:rPr>
        <w:t xml:space="preserve">01/23) que fue revocado por este Tribunal </w:t>
      </w:r>
      <w:r w:rsidRPr="00D3525A">
        <w:rPr>
          <w:rFonts w:ascii="Arial" w:eastAsia="Arial" w:hAnsi="Arial" w:cs="Arial"/>
        </w:rPr>
        <w:t>Electoral a través de la sentencia (</w:t>
      </w:r>
      <w:r w:rsidRPr="00D3525A">
        <w:rPr>
          <w:rFonts w:ascii="Arial" w:eastAsia="Verdana" w:hAnsi="Arial" w:cs="Arial"/>
        </w:rPr>
        <w:t>TEEA-RAP-001/2023</w:t>
      </w:r>
      <w:r w:rsidRPr="00D3525A">
        <w:rPr>
          <w:rFonts w:ascii="Arial" w:eastAsia="Arial" w:hAnsi="Arial" w:cs="Arial"/>
        </w:rPr>
        <w:t>).</w:t>
      </w:r>
    </w:p>
    <w:p w14:paraId="44ADF073"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Lo anterior se debe a que, de acuerdo al marco normativo que existe en materia de improcedencias, específicamente por sobreseimiento, </w:t>
      </w:r>
      <w:r w:rsidRPr="00D3525A">
        <w:rPr>
          <w:rFonts w:ascii="Arial" w:eastAsia="Arial" w:hAnsi="Arial" w:cs="Arial"/>
          <w:b/>
          <w:bCs/>
        </w:rPr>
        <w:t>no era necesario</w:t>
      </w:r>
      <w:r>
        <w:rPr>
          <w:rFonts w:ascii="Arial" w:eastAsia="Arial" w:hAnsi="Arial" w:cs="Arial"/>
        </w:rPr>
        <w:t xml:space="preserve"> </w:t>
      </w:r>
      <w:r w:rsidRPr="00D3525A">
        <w:rPr>
          <w:rFonts w:ascii="Arial" w:eastAsia="Arial" w:hAnsi="Arial" w:cs="Arial"/>
          <w:b/>
          <w:bCs/>
        </w:rPr>
        <w:t>condicionar la elaboración del proyecto propuesto a la emisión del acuerdo</w:t>
      </w:r>
      <w:r>
        <w:rPr>
          <w:rFonts w:ascii="Arial" w:eastAsia="Arial" w:hAnsi="Arial" w:cs="Arial"/>
        </w:rPr>
        <w:t xml:space="preserve"> en materia de financiamiento público emitido por el Instituto Local, y con menor razón, al acuerdo plenario de cumplimiento emitido por este Tribunal en consecuencia de la emisión de dicho acto, pues tal tratamiento, en mi opinión, </w:t>
      </w:r>
      <w:r w:rsidRPr="00D3525A">
        <w:rPr>
          <w:rFonts w:ascii="Arial" w:eastAsia="Arial" w:hAnsi="Arial" w:cs="Arial"/>
          <w:b/>
          <w:bCs/>
          <w:u w:val="single"/>
        </w:rPr>
        <w:t>implicó una afectación a la adecuada administración de justicia</w:t>
      </w:r>
      <w:r>
        <w:rPr>
          <w:rFonts w:ascii="Arial" w:eastAsia="Arial" w:hAnsi="Arial" w:cs="Arial"/>
        </w:rPr>
        <w:t xml:space="preserve"> que exige el artículo 17 de la Constitución General. </w:t>
      </w:r>
    </w:p>
    <w:p w14:paraId="5FEE337B" w14:textId="77777777" w:rsidR="00A917A7" w:rsidRPr="00707EA7" w:rsidRDefault="00A917A7" w:rsidP="00A917A7">
      <w:pPr>
        <w:spacing w:before="240" w:after="240" w:line="360" w:lineRule="auto"/>
        <w:jc w:val="both"/>
        <w:rPr>
          <w:rFonts w:ascii="Arial" w:eastAsia="Arial" w:hAnsi="Arial" w:cs="Arial"/>
          <w:b/>
          <w:bCs/>
        </w:rPr>
      </w:pPr>
      <w:r>
        <w:rPr>
          <w:rFonts w:ascii="Arial" w:eastAsia="Arial" w:hAnsi="Arial" w:cs="Arial"/>
        </w:rPr>
        <w:t xml:space="preserve">Es decir, que el mero hecho de que este Tribunal emitiera la sentencia (TEEA-RAP-001/2023), en la cual revocó el acto reclamado -mismo acto que impugna el partido actor-, </w:t>
      </w:r>
      <w:r w:rsidRPr="00D3525A">
        <w:rPr>
          <w:rFonts w:ascii="Arial" w:eastAsia="Arial" w:hAnsi="Arial" w:cs="Arial"/>
          <w:b/>
          <w:bCs/>
        </w:rPr>
        <w:t xml:space="preserve">era razón </w:t>
      </w:r>
      <w:r w:rsidRPr="00D3525A">
        <w:rPr>
          <w:rFonts w:ascii="Arial" w:eastAsia="Arial" w:hAnsi="Arial" w:cs="Arial"/>
          <w:b/>
          <w:bCs/>
          <w:u w:val="single"/>
        </w:rPr>
        <w:t>suficiente</w:t>
      </w:r>
      <w:r w:rsidRPr="00D3525A">
        <w:rPr>
          <w:rFonts w:ascii="Arial" w:eastAsia="Arial" w:hAnsi="Arial" w:cs="Arial"/>
          <w:b/>
          <w:bCs/>
        </w:rPr>
        <w:t xml:space="preserve"> para actualizar la causal de improcedencia apuntada</w:t>
      </w:r>
      <w:r>
        <w:rPr>
          <w:rFonts w:ascii="Arial" w:eastAsia="Arial" w:hAnsi="Arial" w:cs="Arial"/>
        </w:rPr>
        <w:t xml:space="preserve">, ya que la condición relevante para ello es que el acto reclamado a través de un medio de impugnación sea revocado, </w:t>
      </w:r>
      <w:r w:rsidRPr="00707EA7">
        <w:rPr>
          <w:rFonts w:ascii="Arial" w:eastAsia="Arial" w:hAnsi="Arial" w:cs="Arial"/>
          <w:b/>
          <w:bCs/>
        </w:rPr>
        <w:t>para dejar sin materia el medio de impugnación,</w:t>
      </w:r>
      <w:r>
        <w:rPr>
          <w:rFonts w:ascii="Arial" w:eastAsia="Arial" w:hAnsi="Arial" w:cs="Arial"/>
        </w:rPr>
        <w:t xml:space="preserve"> </w:t>
      </w:r>
      <w:r w:rsidRPr="00707EA7">
        <w:rPr>
          <w:rFonts w:ascii="Arial" w:eastAsia="Arial" w:hAnsi="Arial" w:cs="Arial"/>
          <w:b/>
          <w:bCs/>
        </w:rPr>
        <w:t>pues a ningún fin práctico llevaría, admitir y elaborar un proyecto de resolución para analizar una acto que ya fue revocado.</w:t>
      </w:r>
    </w:p>
    <w:p w14:paraId="5039EF5E"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Así, a mi criterio, el hecho de que el medio de impugnación que hoy se sobresee se turnara y reencauzara a la ponencia instructora el día 8 de febrero, -fecha posterior a la cual se revocó el acuerdo emitido por la autoridad administrativa (7 de febrero) -, </w:t>
      </w:r>
      <w:r w:rsidRPr="00707EA7">
        <w:rPr>
          <w:rFonts w:ascii="Arial" w:eastAsia="Arial" w:hAnsi="Arial" w:cs="Arial"/>
          <w:b/>
          <w:bCs/>
        </w:rPr>
        <w:t xml:space="preserve">resultaba jurídicamente posible </w:t>
      </w:r>
      <w:r w:rsidRPr="00707EA7">
        <w:rPr>
          <w:rFonts w:ascii="Arial" w:eastAsia="Arial" w:hAnsi="Arial" w:cs="Arial"/>
          <w:b/>
          <w:bCs/>
        </w:rPr>
        <w:lastRenderedPageBreak/>
        <w:t>sobreseer el asunto</w:t>
      </w:r>
      <w:r>
        <w:rPr>
          <w:rFonts w:ascii="Arial" w:eastAsia="Arial" w:hAnsi="Arial" w:cs="Arial"/>
        </w:rPr>
        <w:t>, esto es, a partir del 7 de febrero, pues el acto que cuestiona el partido Movimiento Ciudadano fue revocado y, por ello, quedó sin efectos.</w:t>
      </w:r>
    </w:p>
    <w:p w14:paraId="59A0C263"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Por lo comentado es que no comparto que el presente asunto se hubiese sobreseído hasta el día 23 de febrero, es decir, que </w:t>
      </w:r>
      <w:r w:rsidRPr="00D3525A">
        <w:rPr>
          <w:rFonts w:ascii="Arial" w:eastAsia="Arial" w:hAnsi="Arial" w:cs="Arial"/>
          <w:b/>
          <w:bCs/>
        </w:rPr>
        <w:t>se demoró 10 días injustificadamente</w:t>
      </w:r>
      <w:r>
        <w:rPr>
          <w:rFonts w:ascii="Arial" w:eastAsia="Arial" w:hAnsi="Arial" w:cs="Arial"/>
        </w:rPr>
        <w:t xml:space="preserve">, tomando en cuenta mi visión que, a su vez, es acorde a las líneas judiciales sostenidas por la Sala Superior, entre otros, en los asuntos </w:t>
      </w:r>
      <w:r w:rsidRPr="000E3748">
        <w:rPr>
          <w:rFonts w:ascii="Arial" w:eastAsia="Arial" w:hAnsi="Arial" w:cs="Arial"/>
        </w:rPr>
        <w:t>SUP-JDC-1204/2022, SUP-JDC-1098/2022, SUP-JDC-1042/2022 y SM-JDC-80/2022</w:t>
      </w:r>
      <w:r>
        <w:rPr>
          <w:rFonts w:ascii="Arial" w:eastAsia="Arial" w:hAnsi="Arial" w:cs="Arial"/>
        </w:rPr>
        <w:t>.</w:t>
      </w:r>
    </w:p>
    <w:p w14:paraId="074E369F"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La postura que propongo es coincidente a la que asumió </w:t>
      </w:r>
      <w:r w:rsidRPr="00D3525A">
        <w:rPr>
          <w:rFonts w:ascii="Arial" w:eastAsia="Arial" w:hAnsi="Arial" w:cs="Arial"/>
          <w:b/>
          <w:bCs/>
        </w:rPr>
        <w:t>la mayoría</w:t>
      </w:r>
      <w:r>
        <w:rPr>
          <w:rFonts w:ascii="Arial" w:eastAsia="Arial" w:hAnsi="Arial" w:cs="Arial"/>
        </w:rPr>
        <w:t xml:space="preserve"> en el asunto (TEEA-RAP-003/2023), en la cual se sostuvo, esencialmente que, a fin de llevar a cabo una administración de justicia pronta, expedita y efectiva, necesariamente </w:t>
      </w:r>
      <w:r w:rsidRPr="00D3525A">
        <w:rPr>
          <w:rFonts w:ascii="Arial" w:eastAsia="Arial" w:hAnsi="Arial" w:cs="Arial"/>
          <w:b/>
          <w:bCs/>
        </w:rPr>
        <w:t>debían evitarse actuaciones procesales innecesarias</w:t>
      </w:r>
      <w:r>
        <w:rPr>
          <w:rFonts w:ascii="Arial" w:eastAsia="Arial" w:hAnsi="Arial" w:cs="Arial"/>
        </w:rPr>
        <w:t xml:space="preserve"> para resolver o esclarecer una controversia.</w:t>
      </w:r>
    </w:p>
    <w:p w14:paraId="5E921F64"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Así que, a mi criterio, la postura procesalista que pretende evitar la mayoría -sólo en algunos asuntos-, sobre erradicar los actos procesales ociosos, </w:t>
      </w:r>
      <w:r w:rsidRPr="00D3525A">
        <w:rPr>
          <w:rFonts w:ascii="Arial" w:eastAsia="Arial" w:hAnsi="Arial" w:cs="Arial"/>
          <w:b/>
          <w:bCs/>
        </w:rPr>
        <w:t>no resulta acorde al proyecto que se pone a nuestra consideración</w:t>
      </w:r>
      <w:r>
        <w:rPr>
          <w:rFonts w:ascii="Arial" w:eastAsia="Arial" w:hAnsi="Arial" w:cs="Arial"/>
        </w:rPr>
        <w:t>, pues como lo expliqué, esta implicó una demora de 10 día en administrar justicia en favor del partido Movimiento Ciudadano, al haber resuelto su pretensión hasta el día de hoy, como lo apunté, a pesar de que, a partir del día 8 de febrero, se encontraba en aptitud legal de sobreseer el medio de impugnación de manera adecuada.</w:t>
      </w:r>
    </w:p>
    <w:p w14:paraId="26CB30EC"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Por otra parte, es oportuno comentar que la postura que asumo en el presente asunto, no resulta contraria a la jurisprudencia 34/2002 que se cita en el proyecto propuesto, pues la líneas judiciales sostenida por el Tribunal Electoral del Poder Judicial de la Federación ya evolucionaron a grado tal, que no es necesario que la autoridad responsable revoque o modifique el acto impugnado, sino que el sólo hecho de que </w:t>
      </w:r>
      <w:r w:rsidRPr="00D3525A">
        <w:rPr>
          <w:rFonts w:ascii="Arial" w:eastAsia="Arial" w:hAnsi="Arial" w:cs="Arial"/>
          <w:b/>
        </w:rPr>
        <w:t>cualquier autoridad revoque un acto que se impugna con posterioridad</w:t>
      </w:r>
      <w:r>
        <w:rPr>
          <w:rFonts w:ascii="Arial" w:eastAsia="Arial" w:hAnsi="Arial" w:cs="Arial"/>
        </w:rPr>
        <w:t xml:space="preserve">, </w:t>
      </w:r>
      <w:r w:rsidRPr="00D3525A">
        <w:rPr>
          <w:rFonts w:ascii="Arial" w:eastAsia="Arial" w:hAnsi="Arial" w:cs="Arial"/>
          <w:b/>
          <w:bCs/>
        </w:rPr>
        <w:t xml:space="preserve">es motivo </w:t>
      </w:r>
      <w:r w:rsidRPr="00D3525A">
        <w:rPr>
          <w:rFonts w:ascii="Arial" w:eastAsia="Arial" w:hAnsi="Arial" w:cs="Arial"/>
          <w:b/>
          <w:bCs/>
          <w:u w:val="single"/>
        </w:rPr>
        <w:t>suficiente</w:t>
      </w:r>
      <w:r>
        <w:rPr>
          <w:rFonts w:ascii="Arial" w:eastAsia="Arial" w:hAnsi="Arial" w:cs="Arial"/>
        </w:rPr>
        <w:t xml:space="preserve"> </w:t>
      </w:r>
      <w:r w:rsidRPr="00D3525A">
        <w:rPr>
          <w:rFonts w:ascii="Arial" w:eastAsia="Arial" w:hAnsi="Arial" w:cs="Arial"/>
          <w:b/>
          <w:bCs/>
        </w:rPr>
        <w:t>para declarar dicha causal de improcedencia.</w:t>
      </w:r>
    </w:p>
    <w:p w14:paraId="5C208F4C"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Ello, porque resultaría </w:t>
      </w:r>
      <w:r w:rsidRPr="00D3525A">
        <w:rPr>
          <w:rFonts w:ascii="Arial" w:eastAsia="Arial" w:hAnsi="Arial" w:cs="Arial"/>
          <w:b/>
          <w:bCs/>
        </w:rPr>
        <w:t>ocioso</w:t>
      </w:r>
      <w:r>
        <w:rPr>
          <w:rFonts w:ascii="Arial" w:eastAsia="Arial" w:hAnsi="Arial" w:cs="Arial"/>
        </w:rPr>
        <w:t xml:space="preserve"> esperar a que la cadena impugnativa continúe su curso normal, ante la posibilidad jurídica de que la autoridad resolutora analice la legalidad de un acto que </w:t>
      </w:r>
      <w:r w:rsidRPr="00D3525A">
        <w:rPr>
          <w:rFonts w:ascii="Arial" w:eastAsia="Arial" w:hAnsi="Arial" w:cs="Arial"/>
          <w:b/>
          <w:bCs/>
        </w:rPr>
        <w:t>ya quedó sin efectos</w:t>
      </w:r>
      <w:r>
        <w:rPr>
          <w:rFonts w:ascii="Arial" w:eastAsia="Arial" w:hAnsi="Arial" w:cs="Arial"/>
        </w:rPr>
        <w:t xml:space="preserve">, de ahí que, a criterio de la suscrita, </w:t>
      </w:r>
      <w:r w:rsidRPr="00D3525A">
        <w:rPr>
          <w:rFonts w:ascii="Arial" w:eastAsia="Arial" w:hAnsi="Arial" w:cs="Arial"/>
          <w:u w:val="single"/>
        </w:rPr>
        <w:t>es importante apegarse a los criterios vigentes sostenidos por el TEPJF</w:t>
      </w:r>
      <w:r>
        <w:rPr>
          <w:rFonts w:ascii="Arial" w:eastAsia="Arial" w:hAnsi="Arial" w:cs="Arial"/>
        </w:rPr>
        <w:t xml:space="preserve">, con la firme intención de administrar justicia de </w:t>
      </w:r>
      <w:r>
        <w:rPr>
          <w:rFonts w:ascii="Arial" w:eastAsia="Arial" w:hAnsi="Arial" w:cs="Arial"/>
        </w:rPr>
        <w:lastRenderedPageBreak/>
        <w:t>manera efectiva y a la vanguardia de los cambios jurídicos que se van suscitando conforme el tiempo.</w:t>
      </w:r>
    </w:p>
    <w:p w14:paraId="68262DF9"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Ahora bien, no pasa desapercibido para mi ponencia que, la Sala Superior ha sostenido el criterio de que, cuando no se han atendido la totalidad de los planteamientos de la parte recurrente, no puede determinarse el sobreseimiento del medio de impugnación y, por tanto, se debe atender su pretensión a fin de no vulnerar su derecho a un adecuado acceso a la justicia.</w:t>
      </w:r>
      <w:r>
        <w:rPr>
          <w:rStyle w:val="Refdenotaalpie"/>
          <w:rFonts w:ascii="Arial" w:eastAsia="Arial" w:hAnsi="Arial" w:cs="Arial"/>
        </w:rPr>
        <w:footnoteReference w:id="19"/>
      </w:r>
    </w:p>
    <w:p w14:paraId="1BBEA1B8" w14:textId="77777777" w:rsidR="00A917A7" w:rsidRDefault="00A917A7" w:rsidP="00A917A7">
      <w:pPr>
        <w:spacing w:before="240" w:after="240" w:line="360" w:lineRule="auto"/>
        <w:jc w:val="both"/>
        <w:rPr>
          <w:rFonts w:ascii="Arial" w:eastAsia="Arial" w:hAnsi="Arial" w:cs="Arial"/>
        </w:rPr>
      </w:pPr>
      <w:r>
        <w:rPr>
          <w:rFonts w:ascii="Arial" w:eastAsia="Arial" w:hAnsi="Arial" w:cs="Arial"/>
        </w:rPr>
        <w:t xml:space="preserve">No obstante a lo anterior, estimo que, con independencia de los planteamientos aducidos por el partido Movimiento Ciudadano, tal criterio no puede ser aplicable en razón de que, si bien, su pretensión no ha sido colmada, lo cierto es que en el presente caso, el acuerdo impugnado ha sido revocado en su totalidad, dado que en la sentencia TEEA-RAP-001/2023 emitida por este Tribunal, se le ordenó al Consejo General tomar en cuenta diversas reglas para la distribución del financiamiento público, lo cual implica que las consideraciones esenciales del acuerdo primigenio han sido modificadas y, por ende, la situación jurídica en la que se encuentra el ahora recurrente es distinta. </w:t>
      </w:r>
    </w:p>
    <w:p w14:paraId="7B4ED7C6" w14:textId="77777777" w:rsidR="00A917A7" w:rsidRDefault="00A917A7" w:rsidP="00A917A7">
      <w:pPr>
        <w:spacing w:before="240" w:after="240" w:line="360" w:lineRule="auto"/>
        <w:jc w:val="both"/>
        <w:rPr>
          <w:rFonts w:ascii="Arial" w:eastAsia="Arial" w:hAnsi="Arial" w:cs="Arial"/>
        </w:rPr>
      </w:pPr>
      <w:r w:rsidRPr="00707EA7">
        <w:rPr>
          <w:rFonts w:ascii="Arial" w:eastAsia="Arial" w:hAnsi="Arial" w:cs="Arial"/>
        </w:rPr>
        <w:t>De ahí que, por las consideraciones expuestas, considero pertinente la emisión del presente voto concurrente.</w:t>
      </w:r>
    </w:p>
    <w:p w14:paraId="1AB8AF28" w14:textId="77777777" w:rsidR="00A917A7" w:rsidRDefault="00A917A7" w:rsidP="00A917A7">
      <w:pPr>
        <w:spacing w:line="360" w:lineRule="auto"/>
        <w:jc w:val="center"/>
        <w:rPr>
          <w:rFonts w:ascii="Arial" w:eastAsia="Arial" w:hAnsi="Arial" w:cs="Arial"/>
          <w:b/>
        </w:rPr>
      </w:pPr>
    </w:p>
    <w:p w14:paraId="3A245E7C" w14:textId="77777777" w:rsidR="00A917A7" w:rsidRDefault="00A917A7" w:rsidP="00A917A7">
      <w:pPr>
        <w:spacing w:line="360" w:lineRule="auto"/>
        <w:jc w:val="center"/>
        <w:rPr>
          <w:rFonts w:ascii="Arial" w:eastAsia="Arial" w:hAnsi="Arial" w:cs="Arial"/>
          <w:b/>
        </w:rPr>
      </w:pPr>
      <w:r>
        <w:rPr>
          <w:rFonts w:ascii="Arial" w:eastAsia="Arial" w:hAnsi="Arial" w:cs="Arial"/>
          <w:b/>
        </w:rPr>
        <w:t>MAGISTRADA</w:t>
      </w:r>
    </w:p>
    <w:p w14:paraId="2049836E" w14:textId="77777777" w:rsidR="00A917A7" w:rsidRDefault="00A917A7" w:rsidP="00A917A7">
      <w:pPr>
        <w:pBdr>
          <w:top w:val="nil"/>
          <w:left w:val="nil"/>
          <w:bottom w:val="nil"/>
          <w:right w:val="nil"/>
          <w:between w:val="nil"/>
        </w:pBdr>
        <w:spacing w:line="360" w:lineRule="auto"/>
        <w:rPr>
          <w:rFonts w:ascii="Arial" w:eastAsia="Arial" w:hAnsi="Arial" w:cs="Arial"/>
          <w:color w:val="000000"/>
        </w:rPr>
      </w:pPr>
    </w:p>
    <w:p w14:paraId="3F43D845" w14:textId="77777777" w:rsidR="00A917A7" w:rsidRDefault="00A917A7" w:rsidP="00A917A7">
      <w:pPr>
        <w:spacing w:line="360" w:lineRule="auto"/>
        <w:jc w:val="center"/>
        <w:rPr>
          <w:rFonts w:ascii="Arial" w:eastAsia="Arial" w:hAnsi="Arial" w:cs="Arial"/>
          <w:b/>
        </w:rPr>
      </w:pPr>
      <w:r>
        <w:rPr>
          <w:rFonts w:ascii="Arial" w:eastAsia="Arial" w:hAnsi="Arial" w:cs="Arial"/>
          <w:b/>
        </w:rPr>
        <w:t xml:space="preserve">LAURA HORTENSIA </w:t>
      </w:r>
    </w:p>
    <w:p w14:paraId="28CCA995" w14:textId="77777777" w:rsidR="00A917A7" w:rsidRPr="000E3748" w:rsidRDefault="00A917A7" w:rsidP="00A917A7">
      <w:pPr>
        <w:spacing w:line="360" w:lineRule="auto"/>
        <w:jc w:val="center"/>
        <w:rPr>
          <w:rFonts w:ascii="Arial" w:eastAsia="Arial" w:hAnsi="Arial" w:cs="Arial"/>
          <w:b/>
        </w:rPr>
      </w:pPr>
      <w:r>
        <w:rPr>
          <w:rFonts w:ascii="Arial" w:eastAsia="Arial" w:hAnsi="Arial" w:cs="Arial"/>
          <w:b/>
        </w:rPr>
        <w:t>LLAMAS HERNÁNDEZ</w:t>
      </w:r>
    </w:p>
    <w:p w14:paraId="2761AB85" w14:textId="77777777" w:rsidR="00A917A7" w:rsidRPr="00FE32A7" w:rsidRDefault="00A917A7">
      <w:pPr>
        <w:rPr>
          <w:rFonts w:ascii="Verdana" w:hAnsi="Verdana"/>
          <w:sz w:val="22"/>
          <w:szCs w:val="22"/>
        </w:rPr>
      </w:pPr>
    </w:p>
    <w:sectPr w:rsidR="00A917A7" w:rsidRPr="00FE32A7" w:rsidSect="00255936">
      <w:headerReference w:type="even" r:id="rId8"/>
      <w:headerReference w:type="default" r:id="rId9"/>
      <w:footerReference w:type="even" r:id="rId10"/>
      <w:footerReference w:type="default" r:id="rId11"/>
      <w:headerReference w:type="first" r:id="rId12"/>
      <w:footerReference w:type="first" r:id="rId13"/>
      <w:pgSz w:w="12240" w:h="20160" w:code="5"/>
      <w:pgMar w:top="3061" w:right="1418" w:bottom="1135" w:left="2835" w:header="709" w:footer="3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C73F" w14:textId="77777777" w:rsidR="00700AC9" w:rsidRDefault="00700AC9" w:rsidP="009C1068">
      <w:pPr>
        <w:spacing w:before="0" w:after="0"/>
      </w:pPr>
      <w:r>
        <w:separator/>
      </w:r>
    </w:p>
  </w:endnote>
  <w:endnote w:type="continuationSeparator" w:id="0">
    <w:p w14:paraId="7538DFE5" w14:textId="77777777" w:rsidR="00700AC9" w:rsidRDefault="00700AC9" w:rsidP="009C1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5E62" w14:textId="77777777" w:rsidR="007E485F" w:rsidRPr="00AF10AF" w:rsidRDefault="009C1068" w:rsidP="00D414B6">
    <w:pPr>
      <w:pStyle w:val="Piedepgina"/>
      <w:ind w:righ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3DF" w14:textId="77777777" w:rsidR="007E485F" w:rsidRPr="00AF10AF" w:rsidRDefault="00A917A7" w:rsidP="00E419F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7ED7" w14:textId="77777777" w:rsidR="00A917A7" w:rsidRDefault="00A917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8DDF" w14:textId="77777777" w:rsidR="00700AC9" w:rsidRDefault="00700AC9" w:rsidP="009C1068">
      <w:pPr>
        <w:spacing w:before="0" w:after="0"/>
      </w:pPr>
      <w:r>
        <w:separator/>
      </w:r>
    </w:p>
  </w:footnote>
  <w:footnote w:type="continuationSeparator" w:id="0">
    <w:p w14:paraId="46C8D689" w14:textId="77777777" w:rsidR="00700AC9" w:rsidRDefault="00700AC9" w:rsidP="009C1068">
      <w:pPr>
        <w:spacing w:before="0" w:after="0"/>
      </w:pPr>
      <w:r>
        <w:continuationSeparator/>
      </w:r>
    </w:p>
  </w:footnote>
  <w:footnote w:id="1">
    <w:p w14:paraId="14B03798" w14:textId="77777777" w:rsidR="00310657" w:rsidRPr="003178D9" w:rsidRDefault="00310657"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Proceso Electoral Concurrente Ordinario 2020-2021.</w:t>
      </w:r>
    </w:p>
  </w:footnote>
  <w:footnote w:id="2">
    <w:p w14:paraId="0EDE31D5" w14:textId="554DE301" w:rsidR="00945A01" w:rsidRPr="003178D9" w:rsidRDefault="00945A01"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Proceso Electoral Concurrente Ordinario 2021-2022.</w:t>
      </w:r>
    </w:p>
  </w:footnote>
  <w:footnote w:id="3">
    <w:p w14:paraId="593610B8" w14:textId="3E794B3B" w:rsidR="00176970" w:rsidRPr="003178D9" w:rsidRDefault="00176970" w:rsidP="003178D9">
      <w:pPr>
        <w:pStyle w:val="Textonotapie"/>
        <w:spacing w:before="0" w:after="0"/>
        <w:rPr>
          <w:rFonts w:ascii="Arial" w:hAnsi="Arial" w:cs="Arial"/>
          <w:sz w:val="16"/>
          <w:szCs w:val="16"/>
        </w:rPr>
      </w:pPr>
      <w:r w:rsidRPr="003178D9">
        <w:rPr>
          <w:rFonts w:ascii="Arial" w:hAnsi="Arial" w:cs="Arial"/>
          <w:sz w:val="16"/>
          <w:szCs w:val="16"/>
          <w:vertAlign w:val="superscript"/>
        </w:rPr>
        <w:footnoteRef/>
      </w:r>
      <w:r w:rsidRPr="003178D9">
        <w:rPr>
          <w:rFonts w:ascii="Arial" w:hAnsi="Arial" w:cs="Arial"/>
          <w:sz w:val="16"/>
          <w:szCs w:val="16"/>
        </w:rPr>
        <w:t xml:space="preserve"> Ver foja 186 del expediente.</w:t>
      </w:r>
    </w:p>
  </w:footnote>
  <w:footnote w:id="4">
    <w:p w14:paraId="69584F37" w14:textId="6040C501" w:rsidR="00015B05" w:rsidRPr="003178D9" w:rsidRDefault="00015B05"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Ver Recurso de Apelación identificado con el número de expediente TEEA-RAP-001/2023.</w:t>
      </w:r>
    </w:p>
  </w:footnote>
  <w:footnote w:id="5">
    <w:p w14:paraId="483DB07B" w14:textId="1C78BDD0" w:rsidR="00176970" w:rsidRPr="003178D9" w:rsidRDefault="00176970"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Jurisprudencia P./J. 74/2006 de rubro “</w:t>
      </w:r>
      <w:r w:rsidRPr="003178D9">
        <w:rPr>
          <w:rFonts w:ascii="Arial" w:hAnsi="Arial" w:cs="Arial"/>
          <w:b/>
          <w:bCs/>
          <w:sz w:val="16"/>
          <w:szCs w:val="16"/>
        </w:rPr>
        <w:t>HECHOS NOTORIOS. CONCEPTOS GENERAL Y JURÍDICO</w:t>
      </w:r>
      <w:r w:rsidRPr="003178D9">
        <w:rPr>
          <w:rFonts w:ascii="Arial" w:hAnsi="Arial" w:cs="Arial"/>
          <w:sz w:val="16"/>
          <w:szCs w:val="16"/>
        </w:rPr>
        <w:t xml:space="preserve">”, consultable en el Semanario Judicial de la Federación y su Gaceta. Tomo XXIII, </w:t>
      </w:r>
      <w:proofErr w:type="gramStart"/>
      <w:r w:rsidRPr="003178D9">
        <w:rPr>
          <w:rFonts w:ascii="Arial" w:hAnsi="Arial" w:cs="Arial"/>
          <w:sz w:val="16"/>
          <w:szCs w:val="16"/>
        </w:rPr>
        <w:t>Junio</w:t>
      </w:r>
      <w:proofErr w:type="gramEnd"/>
      <w:r w:rsidRPr="003178D9">
        <w:rPr>
          <w:rFonts w:ascii="Arial" w:hAnsi="Arial" w:cs="Arial"/>
          <w:sz w:val="16"/>
          <w:szCs w:val="16"/>
        </w:rPr>
        <w:t xml:space="preserve"> de 2006, página 963</w:t>
      </w:r>
    </w:p>
  </w:footnote>
  <w:footnote w:id="6">
    <w:p w14:paraId="5A21E6D9" w14:textId="67683B1B" w:rsidR="00176970" w:rsidRPr="003178D9" w:rsidRDefault="00176970" w:rsidP="003178D9">
      <w:pPr>
        <w:pStyle w:val="Textonotapie"/>
        <w:spacing w:before="0" w:after="0"/>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Ver TEEA-RAP-001/2023</w:t>
      </w:r>
    </w:p>
  </w:footnote>
  <w:footnote w:id="7">
    <w:p w14:paraId="75C079FF" w14:textId="77777777" w:rsidR="009C1068" w:rsidRPr="003178D9" w:rsidRDefault="009C1068" w:rsidP="003178D9">
      <w:pPr>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Artículos 116</w:t>
      </w:r>
      <w:r w:rsidRPr="003178D9">
        <w:rPr>
          <w:rFonts w:ascii="Arial" w:hAnsi="Arial" w:cs="Arial"/>
          <w:sz w:val="16"/>
          <w:szCs w:val="16"/>
          <w:lang w:val="es-MX"/>
        </w:rPr>
        <w:t>, fracción IV, inciso c, párrafo quinto, e inciso l, de la Constitución Política de los Estados Unidos Mexicanos y 17, apartado B, párrafos primero y quince, de la Constitución Política del Estado de Aguascalientes.</w:t>
      </w:r>
    </w:p>
  </w:footnote>
  <w:footnote w:id="8">
    <w:p w14:paraId="741534C1" w14:textId="74FD8901" w:rsidR="009C1068" w:rsidRPr="003178D9" w:rsidRDefault="009C1068" w:rsidP="003178D9">
      <w:pPr>
        <w:pStyle w:val="Textonotapie"/>
        <w:spacing w:before="0" w:after="0"/>
        <w:jc w:val="both"/>
        <w:rPr>
          <w:rFonts w:ascii="Arial" w:hAnsi="Arial" w:cs="Arial"/>
          <w:sz w:val="16"/>
          <w:szCs w:val="16"/>
          <w:lang w:val="es-MX"/>
        </w:rPr>
      </w:pPr>
      <w:r w:rsidRPr="003178D9">
        <w:rPr>
          <w:rStyle w:val="Refdenotaalpie"/>
          <w:rFonts w:ascii="Arial" w:hAnsi="Arial" w:cs="Arial"/>
          <w:sz w:val="16"/>
          <w:szCs w:val="16"/>
        </w:rPr>
        <w:footnoteRef/>
      </w:r>
      <w:r w:rsidRPr="003178D9">
        <w:rPr>
          <w:rFonts w:ascii="Arial" w:hAnsi="Arial" w:cs="Arial"/>
          <w:sz w:val="16"/>
          <w:szCs w:val="16"/>
        </w:rPr>
        <w:t xml:space="preserve"> </w:t>
      </w:r>
      <w:r w:rsidR="00590850" w:rsidRPr="003178D9">
        <w:rPr>
          <w:rFonts w:ascii="Arial" w:hAnsi="Arial" w:cs="Arial"/>
          <w:sz w:val="16"/>
          <w:szCs w:val="16"/>
        </w:rPr>
        <w:t>Artículos 297, fracción II; 335, fracción II; 336 y 337 del Código Electoral</w:t>
      </w:r>
      <w:r w:rsidR="00590850" w:rsidRPr="003178D9">
        <w:rPr>
          <w:rFonts w:ascii="Arial" w:hAnsi="Arial" w:cs="Arial"/>
          <w:sz w:val="16"/>
          <w:szCs w:val="16"/>
          <w:lang w:val="es-MX"/>
        </w:rPr>
        <w:t xml:space="preserve"> del Estado de Aguascalientes </w:t>
      </w:r>
      <w:r w:rsidRPr="003178D9">
        <w:rPr>
          <w:rFonts w:ascii="Arial" w:hAnsi="Arial" w:cs="Arial"/>
          <w:sz w:val="16"/>
          <w:szCs w:val="16"/>
          <w:lang w:val="es-MX"/>
        </w:rPr>
        <w:t>y 9°</w:t>
      </w:r>
      <w:r w:rsidR="00590850" w:rsidRPr="003178D9">
        <w:rPr>
          <w:rFonts w:ascii="Arial" w:hAnsi="Arial" w:cs="Arial"/>
          <w:sz w:val="16"/>
          <w:szCs w:val="16"/>
          <w:lang w:val="es-MX"/>
        </w:rPr>
        <w:t xml:space="preserve"> y 11</w:t>
      </w:r>
      <w:r w:rsidRPr="003178D9">
        <w:rPr>
          <w:rFonts w:ascii="Arial" w:hAnsi="Arial" w:cs="Arial"/>
          <w:sz w:val="16"/>
          <w:szCs w:val="16"/>
          <w:lang w:val="es-MX"/>
        </w:rPr>
        <w:t xml:space="preserve"> del Reglamento Interior del Tribunal Electoral del Estado de Aguascalientes.</w:t>
      </w:r>
    </w:p>
  </w:footnote>
  <w:footnote w:id="9">
    <w:p w14:paraId="3995A6E8" w14:textId="77777777" w:rsidR="00287076" w:rsidRPr="003178D9" w:rsidRDefault="00287076" w:rsidP="003178D9">
      <w:pPr>
        <w:pStyle w:val="Textonotapie"/>
        <w:spacing w:before="0" w:after="0"/>
        <w:jc w:val="both"/>
        <w:rPr>
          <w:rFonts w:ascii="Arial" w:hAnsi="Arial" w:cs="Arial"/>
          <w:sz w:val="16"/>
          <w:szCs w:val="16"/>
        </w:rPr>
      </w:pPr>
      <w:r w:rsidRPr="003178D9">
        <w:rPr>
          <w:rFonts w:ascii="Arial" w:hAnsi="Arial" w:cs="Arial"/>
          <w:sz w:val="16"/>
          <w:szCs w:val="16"/>
          <w:vertAlign w:val="superscript"/>
        </w:rPr>
        <w:footnoteRef/>
      </w:r>
      <w:r w:rsidRPr="003178D9">
        <w:rPr>
          <w:rFonts w:ascii="Arial" w:hAnsi="Arial" w:cs="Arial"/>
          <w:sz w:val="16"/>
          <w:szCs w:val="16"/>
        </w:rPr>
        <w:t xml:space="preserve"> Tesis de Jurisprudencia 34/2002, de rubro: </w:t>
      </w:r>
      <w:r w:rsidRPr="003178D9">
        <w:rPr>
          <w:rFonts w:ascii="Arial" w:hAnsi="Arial" w:cs="Arial"/>
          <w:b/>
          <w:bCs/>
          <w:sz w:val="16"/>
          <w:szCs w:val="16"/>
        </w:rPr>
        <w:t>IMPROCEDENCIA. EL MERO HECHO DE QUEDAR SIN MATERIA EL PROCEDIMIENTO ACTUALIZA LA CAUSAL RESPECTIVA</w:t>
      </w:r>
      <w:r w:rsidRPr="003178D9">
        <w:rPr>
          <w:rFonts w:ascii="Arial" w:hAnsi="Arial" w:cs="Arial"/>
          <w:sz w:val="16"/>
          <w:szCs w:val="16"/>
        </w:rPr>
        <w:t xml:space="preserve">. </w:t>
      </w:r>
    </w:p>
    <w:p w14:paraId="3D30D27F" w14:textId="77777777" w:rsidR="00287076" w:rsidRPr="003178D9" w:rsidRDefault="00287076" w:rsidP="003178D9">
      <w:pPr>
        <w:pStyle w:val="Textonotapie"/>
        <w:spacing w:before="0" w:after="0"/>
        <w:jc w:val="both"/>
        <w:rPr>
          <w:rFonts w:ascii="Arial" w:hAnsi="Arial" w:cs="Arial"/>
          <w:sz w:val="16"/>
          <w:szCs w:val="16"/>
        </w:rPr>
      </w:pPr>
    </w:p>
  </w:footnote>
  <w:footnote w:id="10">
    <w:p w14:paraId="7F0A4AC2" w14:textId="28CF1738" w:rsidR="004A6F7D" w:rsidRPr="003178D9" w:rsidRDefault="004A6F7D"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Ver TEEA-RAP-001/2023</w:t>
      </w:r>
    </w:p>
  </w:footnote>
  <w:footnote w:id="11">
    <w:p w14:paraId="01435870" w14:textId="7A34D06F" w:rsidR="00401B09" w:rsidRPr="003178D9" w:rsidRDefault="00401B09"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De acuerdo con la Jurisprudencia P./J. 74/2006 de rubro “</w:t>
      </w:r>
      <w:r w:rsidRPr="003178D9">
        <w:rPr>
          <w:rFonts w:ascii="Arial" w:hAnsi="Arial" w:cs="Arial"/>
          <w:b/>
          <w:bCs/>
          <w:sz w:val="16"/>
          <w:szCs w:val="16"/>
        </w:rPr>
        <w:t>HECHOS NOTORIOS. CONCEPTOS GENERAL Y JURÍDICO</w:t>
      </w:r>
      <w:r w:rsidRPr="003178D9">
        <w:rPr>
          <w:rFonts w:ascii="Arial" w:hAnsi="Arial" w:cs="Arial"/>
          <w:sz w:val="16"/>
          <w:szCs w:val="16"/>
        </w:rPr>
        <w:t xml:space="preserve">”, consultable en el Semanario Judicial de la Federación y su Gaceta. Tomo XXIII, </w:t>
      </w:r>
      <w:proofErr w:type="gramStart"/>
      <w:r w:rsidRPr="003178D9">
        <w:rPr>
          <w:rFonts w:ascii="Arial" w:hAnsi="Arial" w:cs="Arial"/>
          <w:sz w:val="16"/>
          <w:szCs w:val="16"/>
        </w:rPr>
        <w:t>Junio</w:t>
      </w:r>
      <w:proofErr w:type="gramEnd"/>
      <w:r w:rsidRPr="003178D9">
        <w:rPr>
          <w:rFonts w:ascii="Arial" w:hAnsi="Arial" w:cs="Arial"/>
          <w:sz w:val="16"/>
          <w:szCs w:val="16"/>
        </w:rPr>
        <w:t xml:space="preserve"> de 2006, página 963</w:t>
      </w:r>
    </w:p>
  </w:footnote>
  <w:footnote w:id="12">
    <w:p w14:paraId="09AFAC1E" w14:textId="1C6670D4" w:rsidR="003178D9" w:rsidRPr="003178D9" w:rsidRDefault="003178D9" w:rsidP="003178D9">
      <w:pPr>
        <w:pStyle w:val="Textonotapie"/>
        <w:spacing w:before="0" w:after="0"/>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Ver TEEA-RAP-001/2023</w:t>
      </w:r>
    </w:p>
  </w:footnote>
  <w:footnote w:id="13">
    <w:p w14:paraId="1F4EA236" w14:textId="77777777" w:rsidR="00DE6BA5" w:rsidRPr="003178D9" w:rsidRDefault="00DE6BA5" w:rsidP="003178D9">
      <w:pPr>
        <w:pStyle w:val="Textonotapie"/>
        <w:spacing w:before="0" w:after="0"/>
        <w:jc w:val="both"/>
        <w:rPr>
          <w:rFonts w:ascii="Arial" w:hAnsi="Arial" w:cs="Arial"/>
          <w:sz w:val="16"/>
          <w:szCs w:val="16"/>
        </w:rPr>
      </w:pPr>
      <w:r w:rsidRPr="003178D9">
        <w:rPr>
          <w:rStyle w:val="Refdenotaalpie"/>
          <w:rFonts w:ascii="Arial" w:hAnsi="Arial" w:cs="Arial"/>
          <w:sz w:val="16"/>
          <w:szCs w:val="16"/>
        </w:rPr>
        <w:footnoteRef/>
      </w:r>
      <w:r w:rsidRPr="003178D9">
        <w:rPr>
          <w:rFonts w:ascii="Arial" w:hAnsi="Arial" w:cs="Arial"/>
          <w:sz w:val="16"/>
          <w:szCs w:val="16"/>
        </w:rPr>
        <w:t xml:space="preserve"> Tesis XII.1o.34 C de rubro “CAMBIO DE SITUACIÓN JURÍDICA EN EL PROCEDIMIENTO CIVIL”, consultable en el Semanario Judicial de la Federación y su Gaceta. Tomo XIII, </w:t>
      </w:r>
      <w:proofErr w:type="gramStart"/>
      <w:r w:rsidRPr="003178D9">
        <w:rPr>
          <w:rFonts w:ascii="Arial" w:hAnsi="Arial" w:cs="Arial"/>
          <w:sz w:val="16"/>
          <w:szCs w:val="16"/>
        </w:rPr>
        <w:t>Mayo</w:t>
      </w:r>
      <w:proofErr w:type="gramEnd"/>
      <w:r w:rsidRPr="003178D9">
        <w:rPr>
          <w:rFonts w:ascii="Arial" w:hAnsi="Arial" w:cs="Arial"/>
          <w:sz w:val="16"/>
          <w:szCs w:val="16"/>
        </w:rPr>
        <w:t xml:space="preserve"> de 2001, página 1096</w:t>
      </w:r>
    </w:p>
  </w:footnote>
  <w:footnote w:id="14">
    <w:p w14:paraId="4E927CCA" w14:textId="77777777" w:rsidR="00A917A7" w:rsidRDefault="00A917A7" w:rsidP="00A917A7">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Con fundamento en lo dispuesto en el artículo 16 del Reglamento Interno del Tribunal Electoral del Estado de Aguascalientes.</w:t>
      </w:r>
    </w:p>
  </w:footnote>
  <w:footnote w:id="15">
    <w:p w14:paraId="64CA2C0B" w14:textId="77777777" w:rsidR="00A917A7" w:rsidRDefault="00A917A7" w:rsidP="00A917A7">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Secretariado colaborador: Edgar Alejandro López Dávila, Guadalupe Jocelyn Martínez </w:t>
      </w:r>
      <w:proofErr w:type="spellStart"/>
      <w:r>
        <w:rPr>
          <w:rFonts w:ascii="Arial" w:eastAsia="Arial" w:hAnsi="Arial" w:cs="Arial"/>
          <w:color w:val="000000"/>
        </w:rPr>
        <w:t>Tavarez</w:t>
      </w:r>
      <w:proofErr w:type="spellEnd"/>
      <w:r>
        <w:rPr>
          <w:rFonts w:ascii="Arial" w:eastAsia="Arial" w:hAnsi="Arial" w:cs="Arial"/>
          <w:color w:val="000000"/>
        </w:rPr>
        <w:t xml:space="preserve"> e Ivonne Azucena Zavala Soto.</w:t>
      </w:r>
    </w:p>
  </w:footnote>
  <w:footnote w:id="16">
    <w:p w14:paraId="3B0899F5" w14:textId="77777777" w:rsidR="00A917A7" w:rsidRDefault="00A917A7" w:rsidP="00A917A7">
      <w:pPr>
        <w:pBdr>
          <w:top w:val="nil"/>
          <w:left w:val="nil"/>
          <w:bottom w:val="nil"/>
          <w:right w:val="nil"/>
          <w:between w:val="nil"/>
        </w:pBdr>
        <w:rPr>
          <w:color w:val="000000"/>
          <w:sz w:val="16"/>
          <w:szCs w:val="16"/>
        </w:rPr>
      </w:pPr>
      <w:r>
        <w:rPr>
          <w:vertAlign w:val="superscript"/>
        </w:rPr>
        <w:footnoteRef/>
      </w:r>
      <w:r>
        <w:rPr>
          <w:color w:val="000000"/>
        </w:rPr>
        <w:t xml:space="preserve"> </w:t>
      </w:r>
      <w:r>
        <w:rPr>
          <w:rFonts w:ascii="Arial" w:eastAsia="Arial" w:hAnsi="Arial" w:cs="Arial"/>
          <w:color w:val="000000"/>
        </w:rPr>
        <w:t>Mismo que fue aprobado el 12 de enero de 2023.</w:t>
      </w:r>
    </w:p>
  </w:footnote>
  <w:footnote w:id="17">
    <w:p w14:paraId="54071E6D" w14:textId="77777777" w:rsidR="00A917A7" w:rsidRDefault="00A917A7" w:rsidP="00A917A7">
      <w:pPr>
        <w:pBdr>
          <w:top w:val="nil"/>
          <w:left w:val="nil"/>
          <w:bottom w:val="nil"/>
          <w:right w:val="nil"/>
          <w:between w:val="nil"/>
        </w:pBdr>
        <w:jc w:val="both"/>
        <w:rPr>
          <w:rFonts w:ascii="Arial" w:eastAsia="Arial" w:hAnsi="Arial" w:cs="Arial"/>
          <w:color w:val="000000"/>
        </w:rPr>
      </w:pPr>
      <w:r>
        <w:rPr>
          <w:vertAlign w:val="superscript"/>
        </w:rPr>
        <w:footnoteRef/>
      </w:r>
      <w:r>
        <w:rPr>
          <w:color w:val="000000"/>
        </w:rPr>
        <w:t xml:space="preserve"> </w:t>
      </w:r>
      <w:r>
        <w:rPr>
          <w:rFonts w:ascii="Arial" w:eastAsia="Arial" w:hAnsi="Arial" w:cs="Arial"/>
          <w:color w:val="000000"/>
        </w:rPr>
        <w:t xml:space="preserve">Ello porque el 17 de enero fue presentado el medio de impugnación vía per </w:t>
      </w:r>
      <w:proofErr w:type="spellStart"/>
      <w:r>
        <w:rPr>
          <w:rFonts w:ascii="Arial" w:eastAsia="Arial" w:hAnsi="Arial" w:cs="Arial"/>
          <w:color w:val="000000"/>
        </w:rPr>
        <w:t>saltum</w:t>
      </w:r>
      <w:proofErr w:type="spellEnd"/>
      <w:r>
        <w:rPr>
          <w:rFonts w:ascii="Arial" w:eastAsia="Arial" w:hAnsi="Arial" w:cs="Arial"/>
          <w:color w:val="000000"/>
        </w:rPr>
        <w:t xml:space="preserve"> ante la Sala Superior, quien posteriormente lo remitió a Sala Regional Monterrey y, esta última, el 3 de febrero acordó reencauzarlo a este órgano jurisdiccional. </w:t>
      </w:r>
    </w:p>
  </w:footnote>
  <w:footnote w:id="18">
    <w:p w14:paraId="30270DF2" w14:textId="77777777" w:rsidR="00A917A7" w:rsidRDefault="00A917A7" w:rsidP="00A917A7">
      <w:pPr>
        <w:pStyle w:val="Textonotapie"/>
        <w:jc w:val="both"/>
      </w:pPr>
      <w:r>
        <w:rPr>
          <w:rStyle w:val="Refdenotaalpie"/>
        </w:rPr>
        <w:footnoteRef/>
      </w:r>
      <w:r>
        <w:t xml:space="preserve"> </w:t>
      </w:r>
      <w:r w:rsidRPr="000E3748">
        <w:rPr>
          <w:rFonts w:ascii="Arial" w:hAnsi="Arial" w:cs="Arial"/>
        </w:rPr>
        <w:t>Véase asuntos SUP-JDC-1204/2022, SUP-JDC-1098/2022, SUP-JDC-1042/2022 y SM-JDC-80/2022.</w:t>
      </w:r>
    </w:p>
  </w:footnote>
  <w:footnote w:id="19">
    <w:p w14:paraId="654EC84A" w14:textId="77777777" w:rsidR="00A917A7" w:rsidRDefault="00A917A7" w:rsidP="00A917A7">
      <w:pPr>
        <w:pStyle w:val="Textonotapie"/>
        <w:jc w:val="both"/>
      </w:pPr>
      <w:r>
        <w:rPr>
          <w:rStyle w:val="Refdenotaalpie"/>
        </w:rPr>
        <w:footnoteRef/>
      </w:r>
      <w:r>
        <w:t xml:space="preserve"> </w:t>
      </w:r>
      <w:r w:rsidRPr="0011458B">
        <w:rPr>
          <w:rFonts w:ascii="Arial" w:hAnsi="Arial" w:cs="Arial"/>
        </w:rPr>
        <w:t xml:space="preserve">Tesis </w:t>
      </w:r>
      <w:r w:rsidRPr="0011458B">
        <w:rPr>
          <w:rStyle w:val="Textoennegrita"/>
          <w:rFonts w:ascii="Arial" w:eastAsiaTheme="majorEastAsia" w:hAnsi="Arial" w:cs="Arial"/>
          <w:shd w:val="clear" w:color="auto" w:fill="FFFFFF"/>
        </w:rPr>
        <w:t>CXXXVII/2002, de rubro: “</w:t>
      </w:r>
      <w:r w:rsidRPr="0011458B">
        <w:rPr>
          <w:rFonts w:ascii="Arial" w:hAnsi="Arial" w:cs="Arial"/>
          <w:i/>
          <w:iCs/>
          <w:shd w:val="clear" w:color="auto" w:fill="FFFFFF"/>
        </w:rPr>
        <w:t>SOBRESEIMIENTO. LA MODIFICACIÓN O REVOCACIÓN DEL ACTO O RESOLUCIÓN IMPUGNADO, NO NECESARIAMENTE LO PRODUCE</w:t>
      </w:r>
      <w:r w:rsidRPr="0011458B">
        <w:rPr>
          <w:rStyle w:val="Textoennegrita"/>
          <w:rFonts w:ascii="Arial" w:eastAsiaTheme="majorEastAsia" w:hAnsi="Arial" w:cs="Arial"/>
          <w:shd w:val="clear" w:color="auto" w:fill="FFFFFF"/>
        </w:rPr>
        <w:t xml:space="preserve">”, visible para su consulta en la </w:t>
      </w:r>
      <w:r w:rsidRPr="0011458B">
        <w:rPr>
          <w:rFonts w:ascii="Arial" w:hAnsi="Arial" w:cs="Arial"/>
          <w:shd w:val="clear" w:color="auto" w:fill="FFFFFF"/>
        </w:rPr>
        <w:t>Revista Justicia Electoral del Tribunal Electoral del Poder Judicial de la Federación, suplemento 6, año 2003, páginas 202 y 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0E0" w14:textId="55581434" w:rsidR="007E485F" w:rsidRDefault="00A917A7" w:rsidP="00033173">
    <w:pPr>
      <w:pStyle w:val="Encabezado"/>
      <w:tabs>
        <w:tab w:val="clear" w:pos="4252"/>
        <w:tab w:val="left" w:pos="5954"/>
      </w:tabs>
      <w:ind w:right="-6"/>
      <w:jc w:val="right"/>
      <w:rPr>
        <w:rFonts w:ascii="Univers" w:hAnsi="Univers" w:cs="Courier New"/>
        <w:b/>
        <w:sz w:val="28"/>
        <w:szCs w:val="28"/>
      </w:rPr>
    </w:pPr>
    <w:r>
      <w:rPr>
        <w:noProof/>
      </w:rPr>
      <w:pict w14:anchorId="22BA0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615501" o:spid="_x0000_s1026" type="#_x0000_t136" style="position:absolute;left:0;text-align:left;margin-left:0;margin-top:0;width:487.95pt;height:75.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v:shape>
      </w:pict>
    </w:r>
  </w:p>
  <w:p w14:paraId="0E5D25EF" w14:textId="77777777" w:rsidR="007E485F" w:rsidRDefault="00A917A7" w:rsidP="00033173">
    <w:pPr>
      <w:pStyle w:val="Encabezado"/>
      <w:tabs>
        <w:tab w:val="clear" w:pos="4252"/>
        <w:tab w:val="left" w:pos="5954"/>
      </w:tabs>
      <w:ind w:right="-6"/>
      <w:jc w:val="right"/>
      <w:rPr>
        <w:rFonts w:ascii="Univers" w:hAnsi="Univers" w:cs="Courier New"/>
        <w:b/>
        <w:sz w:val="28"/>
        <w:szCs w:val="28"/>
      </w:rPr>
    </w:pPr>
    <w:sdt>
      <w:sdtPr>
        <w:rPr>
          <w:rFonts w:ascii="Univers" w:hAnsi="Univers" w:cs="Courier New"/>
          <w:b/>
          <w:sz w:val="28"/>
          <w:szCs w:val="28"/>
        </w:rPr>
        <w:id w:val="137628480"/>
        <w:docPartObj>
          <w:docPartGallery w:val="Page Numbers (Margins)"/>
          <w:docPartUnique/>
        </w:docPartObj>
      </w:sdtPr>
      <w:sdtEndPr/>
      <w:sdtContent>
        <w:r w:rsidR="009C1068" w:rsidRPr="00E419F1">
          <w:rPr>
            <w:rFonts w:ascii="Univers" w:hAnsi="Univers" w:cs="Courier New"/>
            <w:b/>
            <w:noProof/>
            <w:sz w:val="28"/>
            <w:szCs w:val="28"/>
            <w:lang w:val="es-MX" w:eastAsia="es-MX"/>
          </w:rPr>
          <mc:AlternateContent>
            <mc:Choice Requires="wps">
              <w:drawing>
                <wp:anchor distT="0" distB="0" distL="114300" distR="114300" simplePos="0" relativeHeight="251659264" behindDoc="0" locked="0" layoutInCell="0" allowOverlap="1" wp14:anchorId="3DDFB36E" wp14:editId="49F35E39">
                  <wp:simplePos x="0" y="0"/>
                  <wp:positionH relativeFrom="lef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7E485F"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B36E" id="Rectángulo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7E485F"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2684EC29" w14:textId="77777777" w:rsidR="007E485F" w:rsidRPr="00E119AE" w:rsidRDefault="009C1068" w:rsidP="00033173">
    <w:pPr>
      <w:pStyle w:val="Encabezado"/>
      <w:tabs>
        <w:tab w:val="clear" w:pos="4252"/>
        <w:tab w:val="left" w:pos="5954"/>
      </w:tabs>
      <w:ind w:right="-6"/>
      <w:jc w:val="right"/>
      <w:rPr>
        <w:rFonts w:ascii="Verdana" w:hAnsi="Verdana" w:cs="Arial"/>
        <w:b/>
        <w:sz w:val="22"/>
        <w:szCs w:val="22"/>
        <w:lang w:val="es-MX"/>
      </w:rPr>
    </w:pPr>
    <w:r w:rsidRPr="00E119AE">
      <w:rPr>
        <w:rFonts w:ascii="Verdana" w:hAnsi="Verdana" w:cs="Courier New"/>
        <w:b/>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8AC" w14:textId="41443F41" w:rsidR="007E485F" w:rsidRDefault="00A917A7" w:rsidP="00C50FA7">
    <w:pPr>
      <w:pStyle w:val="Encabezado"/>
      <w:tabs>
        <w:tab w:val="clear" w:pos="4252"/>
        <w:tab w:val="left" w:pos="2655"/>
        <w:tab w:val="left" w:pos="5954"/>
      </w:tabs>
      <w:ind w:right="-6"/>
      <w:rPr>
        <w:rFonts w:ascii="Univers" w:hAnsi="Univers" w:cs="Arial"/>
        <w:b/>
        <w:sz w:val="28"/>
        <w:szCs w:val="28"/>
        <w:lang w:val="es-MX"/>
      </w:rPr>
    </w:pPr>
    <w:r>
      <w:rPr>
        <w:noProof/>
      </w:rPr>
      <w:pict w14:anchorId="562E1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615502" o:spid="_x0000_s1027" type="#_x0000_t136" style="position:absolute;margin-left:0;margin-top:0;width:487.95pt;height:75.05pt;rotation:315;z-index:-251648000;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C1068">
      <w:rPr>
        <w:rFonts w:ascii="Univers" w:hAnsi="Univers" w:cs="Arial"/>
        <w:b/>
        <w:sz w:val="28"/>
        <w:szCs w:val="28"/>
        <w:lang w:val="es-MX"/>
      </w:rPr>
      <w:tab/>
    </w:r>
    <w:r w:rsidR="009C1068">
      <w:rPr>
        <w:rFonts w:ascii="Univers" w:hAnsi="Univers" w:cs="Arial"/>
        <w:b/>
        <w:sz w:val="28"/>
        <w:szCs w:val="28"/>
        <w:lang w:val="es-MX"/>
      </w:rPr>
      <w:tab/>
    </w:r>
  </w:p>
  <w:p w14:paraId="2E82F55E" w14:textId="77777777" w:rsidR="007E485F" w:rsidRDefault="009C1068" w:rsidP="00AF10AF">
    <w:pPr>
      <w:pStyle w:val="Encabezado"/>
      <w:tabs>
        <w:tab w:val="clear" w:pos="4252"/>
        <w:tab w:val="left" w:pos="5954"/>
      </w:tabs>
      <w:ind w:right="-6"/>
      <w:jc w:val="right"/>
      <w:rPr>
        <w:rFonts w:ascii="Univers" w:hAnsi="Univers" w:cs="Arial"/>
        <w:b/>
        <w:sz w:val="28"/>
        <w:szCs w:val="28"/>
        <w:lang w:val="es-MX"/>
      </w:rPr>
    </w:pPr>
    <w:r>
      <w:rPr>
        <w:noProof/>
      </w:rPr>
      <w:drawing>
        <wp:anchor distT="0" distB="0" distL="114300" distR="114300" simplePos="0" relativeHeight="251662336" behindDoc="0" locked="0" layoutInCell="1" allowOverlap="1" wp14:anchorId="187293B1" wp14:editId="7E989EC0">
          <wp:simplePos x="0" y="0"/>
          <wp:positionH relativeFrom="column">
            <wp:posOffset>0</wp:posOffset>
          </wp:positionH>
          <wp:positionV relativeFrom="paragraph">
            <wp:posOffset>-635</wp:posOffset>
          </wp:positionV>
          <wp:extent cx="962025" cy="114427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Univers" w:hAnsi="Univers" w:cs="Arial"/>
          <w:b/>
          <w:sz w:val="28"/>
          <w:szCs w:val="28"/>
          <w:lang w:val="es-MX"/>
        </w:rPr>
        <w:id w:val="-290443122"/>
        <w:docPartObj>
          <w:docPartGallery w:val="Page Numbers (Margins)"/>
          <w:docPartUnique/>
        </w:docPartObj>
      </w:sdtPr>
      <w:sdtEndPr/>
      <w:sdtContent>
        <w:r w:rsidRPr="00E419F1">
          <w:rPr>
            <w:rFonts w:ascii="Univers" w:hAnsi="Univers" w:cs="Arial"/>
            <w:b/>
            <w:noProof/>
            <w:sz w:val="28"/>
            <w:szCs w:val="28"/>
            <w:lang w:val="es-MX" w:eastAsia="es-MX"/>
          </w:rPr>
          <mc:AlternateContent>
            <mc:Choice Requires="wps">
              <w:drawing>
                <wp:anchor distT="0" distB="0" distL="114300" distR="114300" simplePos="0" relativeHeight="251660288" behindDoc="0" locked="0" layoutInCell="0" allowOverlap="1" wp14:anchorId="400F2775" wp14:editId="20698926">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7E485F"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2775" id="Rectángulo 5" o:spid="_x0000_s1027"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7E485F"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10BEA8A" w14:textId="51CF3053" w:rsidR="007E485F" w:rsidRDefault="009C1068" w:rsidP="005625D3">
    <w:pPr>
      <w:pStyle w:val="Encabezado"/>
      <w:tabs>
        <w:tab w:val="clear" w:pos="4252"/>
        <w:tab w:val="left" w:pos="5954"/>
      </w:tabs>
      <w:ind w:right="-6"/>
      <w:jc w:val="right"/>
      <w:rPr>
        <w:rFonts w:ascii="Verdana" w:hAnsi="Verdana" w:cs="Courier New"/>
        <w:b/>
        <w:sz w:val="22"/>
        <w:szCs w:val="22"/>
      </w:rPr>
    </w:pPr>
    <w:r w:rsidRPr="003571CD">
      <w:rPr>
        <w:rFonts w:ascii="Verdana" w:hAnsi="Verdana" w:cs="Courier New"/>
        <w:b/>
        <w:sz w:val="22"/>
        <w:szCs w:val="22"/>
      </w:rPr>
      <w:t>TEEA-</w:t>
    </w:r>
    <w:r w:rsidR="009570B2">
      <w:rPr>
        <w:rFonts w:ascii="Verdana" w:hAnsi="Verdana" w:cs="Courier New"/>
        <w:b/>
        <w:sz w:val="22"/>
        <w:szCs w:val="22"/>
      </w:rPr>
      <w:t>RAP</w:t>
    </w:r>
    <w:r w:rsidRPr="003571CD">
      <w:rPr>
        <w:rFonts w:ascii="Verdana" w:hAnsi="Verdana" w:cs="Courier New"/>
        <w:b/>
        <w:sz w:val="22"/>
        <w:szCs w:val="22"/>
      </w:rPr>
      <w:t>-00</w:t>
    </w:r>
    <w:r w:rsidR="00F21EAB">
      <w:rPr>
        <w:rFonts w:ascii="Verdana" w:hAnsi="Verdana" w:cs="Courier New"/>
        <w:b/>
        <w:sz w:val="22"/>
        <w:szCs w:val="22"/>
      </w:rPr>
      <w:t>2</w:t>
    </w:r>
    <w:r w:rsidRPr="003571CD">
      <w:rPr>
        <w:rFonts w:ascii="Verdana" w:hAnsi="Verdana" w:cs="Courier New"/>
        <w:b/>
        <w:sz w:val="22"/>
        <w:szCs w:val="22"/>
      </w:rPr>
      <w:t>/2023</w:t>
    </w:r>
  </w:p>
  <w:p w14:paraId="7131B6B4" w14:textId="77777777" w:rsidR="007E485F" w:rsidRDefault="00A917A7" w:rsidP="005625D3">
    <w:pPr>
      <w:pStyle w:val="Encabezado"/>
      <w:tabs>
        <w:tab w:val="clear" w:pos="4252"/>
        <w:tab w:val="left" w:pos="5954"/>
      </w:tabs>
      <w:ind w:right="-6"/>
      <w:jc w:val="right"/>
      <w:rPr>
        <w:rFonts w:ascii="Verdana" w:hAnsi="Verdana" w:cs="Courier New"/>
        <w:b/>
        <w:sz w:val="22"/>
        <w:szCs w:val="22"/>
      </w:rPr>
    </w:pPr>
  </w:p>
  <w:p w14:paraId="1B3AF9ED" w14:textId="77777777" w:rsidR="007E485F" w:rsidRPr="00BE3C4D" w:rsidRDefault="00A917A7" w:rsidP="005625D3">
    <w:pPr>
      <w:pStyle w:val="Encabezado"/>
      <w:tabs>
        <w:tab w:val="clear" w:pos="4252"/>
        <w:tab w:val="left" w:pos="5954"/>
      </w:tabs>
      <w:ind w:right="-6"/>
      <w:jc w:val="right"/>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DBD5" w14:textId="1FB0FEE3" w:rsidR="007E485F" w:rsidRDefault="00A917A7" w:rsidP="00E708AB">
    <w:pPr>
      <w:pStyle w:val="Encabezado"/>
      <w:jc w:val="center"/>
      <w:rPr>
        <w:rFonts w:ascii="Verdana" w:hAnsi="Verdana"/>
        <w:b/>
        <w:lang w:val="es-MX"/>
      </w:rPr>
    </w:pPr>
    <w:r>
      <w:rPr>
        <w:noProof/>
      </w:rPr>
      <w:pict w14:anchorId="2C825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615500" o:spid="_x0000_s1025" type="#_x0000_t136" style="position:absolute;left:0;text-align:left;margin-left:0;margin-top:0;width:487.95pt;height:75.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C1068">
      <w:rPr>
        <w:noProof/>
      </w:rPr>
      <w:drawing>
        <wp:anchor distT="0" distB="0" distL="114300" distR="114300" simplePos="0" relativeHeight="251661312" behindDoc="0" locked="0" layoutInCell="1" allowOverlap="1" wp14:anchorId="0BBF41E3" wp14:editId="434F5517">
          <wp:simplePos x="0" y="0"/>
          <wp:positionH relativeFrom="column">
            <wp:posOffset>-127000</wp:posOffset>
          </wp:positionH>
          <wp:positionV relativeFrom="paragraph">
            <wp:posOffset>129752</wp:posOffset>
          </wp:positionV>
          <wp:extent cx="962025" cy="114427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p>
  <w:p w14:paraId="54E6477B" w14:textId="77777777" w:rsidR="007E485F" w:rsidRDefault="00A917A7" w:rsidP="00E708AB">
    <w:pPr>
      <w:pStyle w:val="Encabezado"/>
      <w:jc w:val="center"/>
      <w:rPr>
        <w:rFonts w:ascii="Verdana" w:hAnsi="Verdana"/>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1B7"/>
    <w:multiLevelType w:val="multilevel"/>
    <w:tmpl w:val="C79C3D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5C25C4"/>
    <w:multiLevelType w:val="hybridMultilevel"/>
    <w:tmpl w:val="72663178"/>
    <w:lvl w:ilvl="0" w:tplc="3068703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86A7D"/>
    <w:multiLevelType w:val="hybridMultilevel"/>
    <w:tmpl w:val="EDFED6E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6F352C"/>
    <w:multiLevelType w:val="hybridMultilevel"/>
    <w:tmpl w:val="3512835E"/>
    <w:lvl w:ilvl="0" w:tplc="039CD2EA">
      <w:start w:val="1"/>
      <w:numFmt w:val="decimal"/>
      <w:lvlText w:val="%1."/>
      <w:lvlJc w:val="left"/>
      <w:pPr>
        <w:ind w:left="720" w:hanging="360"/>
      </w:pPr>
      <w:rPr>
        <w:b w:val="0"/>
        <w:bCs w:val="0"/>
        <w:sz w:val="18"/>
        <w:szCs w:val="18"/>
      </w:rPr>
    </w:lvl>
    <w:lvl w:ilvl="1" w:tplc="F1423C02">
      <w:start w:val="1"/>
      <w:numFmt w:val="upperRoman"/>
      <w:lvlText w:val="%2."/>
      <w:lvlJc w:val="left"/>
      <w:pPr>
        <w:ind w:left="1800" w:hanging="720"/>
      </w:pPr>
      <w:rPr>
        <w:b/>
        <w:bCs w:val="0"/>
      </w:rPr>
    </w:lvl>
    <w:lvl w:ilvl="2" w:tplc="18EA06BC">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E6A084E"/>
    <w:multiLevelType w:val="hybridMultilevel"/>
    <w:tmpl w:val="CB5AB1D8"/>
    <w:lvl w:ilvl="0" w:tplc="F3F817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4B559F"/>
    <w:multiLevelType w:val="hybridMultilevel"/>
    <w:tmpl w:val="65725488"/>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745926"/>
    <w:multiLevelType w:val="hybridMultilevel"/>
    <w:tmpl w:val="A33481AE"/>
    <w:lvl w:ilvl="0" w:tplc="7F6CB0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BD591B"/>
    <w:multiLevelType w:val="hybridMultilevel"/>
    <w:tmpl w:val="E7ECFFF2"/>
    <w:lvl w:ilvl="0" w:tplc="96B05D1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226C8A"/>
    <w:multiLevelType w:val="hybridMultilevel"/>
    <w:tmpl w:val="5FFA7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D32B25"/>
    <w:multiLevelType w:val="multilevel"/>
    <w:tmpl w:val="CB4EE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23435D"/>
    <w:multiLevelType w:val="multilevel"/>
    <w:tmpl w:val="0778FB78"/>
    <w:lvl w:ilvl="0">
      <w:start w:val="1"/>
      <w:numFmt w:val="decimal"/>
      <w:lvlText w:val="%1."/>
      <w:lvlJc w:val="left"/>
      <w:pPr>
        <w:ind w:left="720" w:hanging="360"/>
      </w:pPr>
      <w:rPr>
        <w:rFonts w:ascii="Arial" w:eastAsia="Arial" w:hAnsi="Arial" w:cs="Arial"/>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AB1DCD"/>
    <w:multiLevelType w:val="hybridMultilevel"/>
    <w:tmpl w:val="5FF4AF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F265E8"/>
    <w:multiLevelType w:val="hybridMultilevel"/>
    <w:tmpl w:val="EDFED6E2"/>
    <w:lvl w:ilvl="0" w:tplc="321244F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A4514B"/>
    <w:multiLevelType w:val="hybridMultilevel"/>
    <w:tmpl w:val="230606C6"/>
    <w:lvl w:ilvl="0" w:tplc="74F675AC">
      <w:start w:val="1"/>
      <w:numFmt w:val="upperRoman"/>
      <w:lvlText w:val="%1."/>
      <w:lvlJc w:val="right"/>
      <w:pPr>
        <w:ind w:left="720" w:hanging="360"/>
      </w:pPr>
      <w:rPr>
        <w:b/>
        <w:bCs/>
      </w:rPr>
    </w:lvl>
    <w:lvl w:ilvl="1" w:tplc="3FAC2C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947492"/>
    <w:multiLevelType w:val="hybridMultilevel"/>
    <w:tmpl w:val="196A3CD4"/>
    <w:lvl w:ilvl="0" w:tplc="204089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AC39A4"/>
    <w:multiLevelType w:val="multilevel"/>
    <w:tmpl w:val="08D40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E80870"/>
    <w:multiLevelType w:val="hybridMultilevel"/>
    <w:tmpl w:val="F5CADF52"/>
    <w:lvl w:ilvl="0" w:tplc="E4F674A4">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0C623E"/>
    <w:multiLevelType w:val="hybridMultilevel"/>
    <w:tmpl w:val="84F06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150A35"/>
    <w:multiLevelType w:val="hybridMultilevel"/>
    <w:tmpl w:val="CC22BC00"/>
    <w:lvl w:ilvl="0" w:tplc="2546703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246129"/>
    <w:multiLevelType w:val="multilevel"/>
    <w:tmpl w:val="4F943B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9B47FA"/>
    <w:multiLevelType w:val="hybridMultilevel"/>
    <w:tmpl w:val="5B5643EA"/>
    <w:lvl w:ilvl="0" w:tplc="99A835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4022F4"/>
    <w:multiLevelType w:val="multilevel"/>
    <w:tmpl w:val="2458C640"/>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22" w15:restartNumberingAfterBreak="0">
    <w:nsid w:val="69A47FA8"/>
    <w:multiLevelType w:val="hybridMultilevel"/>
    <w:tmpl w:val="AF641AFA"/>
    <w:lvl w:ilvl="0" w:tplc="FF90DC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99235B"/>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2E0776"/>
    <w:multiLevelType w:val="hybridMultilevel"/>
    <w:tmpl w:val="F5FC6D82"/>
    <w:lvl w:ilvl="0" w:tplc="B4BAB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782ED9"/>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C2357D"/>
    <w:multiLevelType w:val="hybridMultilevel"/>
    <w:tmpl w:val="92C059D2"/>
    <w:lvl w:ilvl="0" w:tplc="57665B64">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FDC62B1"/>
    <w:multiLevelType w:val="multilevel"/>
    <w:tmpl w:val="E716E162"/>
    <w:lvl w:ilvl="0">
      <w:start w:val="1"/>
      <w:numFmt w:val="upperRoman"/>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134447677">
    <w:abstractNumId w:val="18"/>
  </w:num>
  <w:num w:numId="2" w16cid:durableId="458258222">
    <w:abstractNumId w:val="6"/>
  </w:num>
  <w:num w:numId="3" w16cid:durableId="137963599">
    <w:abstractNumId w:val="4"/>
  </w:num>
  <w:num w:numId="4" w16cid:durableId="371225387">
    <w:abstractNumId w:val="13"/>
  </w:num>
  <w:num w:numId="5" w16cid:durableId="1825047588">
    <w:abstractNumId w:val="12"/>
  </w:num>
  <w:num w:numId="6" w16cid:durableId="50427511">
    <w:abstractNumId w:val="27"/>
  </w:num>
  <w:num w:numId="7" w16cid:durableId="537741824">
    <w:abstractNumId w:val="8"/>
  </w:num>
  <w:num w:numId="8" w16cid:durableId="1908103398">
    <w:abstractNumId w:val="14"/>
  </w:num>
  <w:num w:numId="9" w16cid:durableId="1449084808">
    <w:abstractNumId w:val="11"/>
  </w:num>
  <w:num w:numId="10" w16cid:durableId="79958193">
    <w:abstractNumId w:val="7"/>
  </w:num>
  <w:num w:numId="11" w16cid:durableId="1178352039">
    <w:abstractNumId w:val="21"/>
  </w:num>
  <w:num w:numId="12" w16cid:durableId="222369394">
    <w:abstractNumId w:val="2"/>
  </w:num>
  <w:num w:numId="13" w16cid:durableId="343869687">
    <w:abstractNumId w:val="26"/>
  </w:num>
  <w:num w:numId="14" w16cid:durableId="1820031016">
    <w:abstractNumId w:val="17"/>
  </w:num>
  <w:num w:numId="15" w16cid:durableId="808940531">
    <w:abstractNumId w:val="22"/>
  </w:num>
  <w:num w:numId="16" w16cid:durableId="1548109051">
    <w:abstractNumId w:val="5"/>
  </w:num>
  <w:num w:numId="17" w16cid:durableId="366174955">
    <w:abstractNumId w:val="24"/>
  </w:num>
  <w:num w:numId="18" w16cid:durableId="19168842">
    <w:abstractNumId w:val="23"/>
  </w:num>
  <w:num w:numId="19" w16cid:durableId="1829787326">
    <w:abstractNumId w:val="25"/>
  </w:num>
  <w:num w:numId="20" w16cid:durableId="1766802796">
    <w:abstractNumId w:val="1"/>
  </w:num>
  <w:num w:numId="21" w16cid:durableId="1242837324">
    <w:abstractNumId w:val="16"/>
  </w:num>
  <w:num w:numId="22" w16cid:durableId="1624573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6034038">
    <w:abstractNumId w:val="20"/>
  </w:num>
  <w:num w:numId="24" w16cid:durableId="62602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0923198">
    <w:abstractNumId w:val="15"/>
  </w:num>
  <w:num w:numId="26" w16cid:durableId="1109661628">
    <w:abstractNumId w:val="9"/>
  </w:num>
  <w:num w:numId="27" w16cid:durableId="857424534">
    <w:abstractNumId w:val="10"/>
  </w:num>
  <w:num w:numId="28" w16cid:durableId="766195145">
    <w:abstractNumId w:val="19"/>
  </w:num>
  <w:num w:numId="29" w16cid:durableId="30320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68"/>
    <w:rsid w:val="00000D96"/>
    <w:rsid w:val="00003894"/>
    <w:rsid w:val="00003C55"/>
    <w:rsid w:val="00005547"/>
    <w:rsid w:val="00011A49"/>
    <w:rsid w:val="00011F66"/>
    <w:rsid w:val="00013472"/>
    <w:rsid w:val="00015B05"/>
    <w:rsid w:val="00031607"/>
    <w:rsid w:val="00032449"/>
    <w:rsid w:val="0003604E"/>
    <w:rsid w:val="00036942"/>
    <w:rsid w:val="00043604"/>
    <w:rsid w:val="000546C4"/>
    <w:rsid w:val="000568F9"/>
    <w:rsid w:val="0006353D"/>
    <w:rsid w:val="000677BE"/>
    <w:rsid w:val="00071B03"/>
    <w:rsid w:val="00075E00"/>
    <w:rsid w:val="00081028"/>
    <w:rsid w:val="00086D27"/>
    <w:rsid w:val="000900D4"/>
    <w:rsid w:val="000A293C"/>
    <w:rsid w:val="000A4136"/>
    <w:rsid w:val="000B076C"/>
    <w:rsid w:val="000B1967"/>
    <w:rsid w:val="000B430E"/>
    <w:rsid w:val="000B49C2"/>
    <w:rsid w:val="000B797E"/>
    <w:rsid w:val="000C2DF8"/>
    <w:rsid w:val="000C541F"/>
    <w:rsid w:val="000C7D3A"/>
    <w:rsid w:val="000D0971"/>
    <w:rsid w:val="000D11C8"/>
    <w:rsid w:val="000D3257"/>
    <w:rsid w:val="000D7093"/>
    <w:rsid w:val="000D79E8"/>
    <w:rsid w:val="000E37AF"/>
    <w:rsid w:val="000E4112"/>
    <w:rsid w:val="000E5291"/>
    <w:rsid w:val="000E6483"/>
    <w:rsid w:val="000E751E"/>
    <w:rsid w:val="000F1DD7"/>
    <w:rsid w:val="000F3AE5"/>
    <w:rsid w:val="000F4239"/>
    <w:rsid w:val="000F4545"/>
    <w:rsid w:val="00107D77"/>
    <w:rsid w:val="0011083E"/>
    <w:rsid w:val="0011214F"/>
    <w:rsid w:val="0011338F"/>
    <w:rsid w:val="001143B8"/>
    <w:rsid w:val="001209E7"/>
    <w:rsid w:val="00121E34"/>
    <w:rsid w:val="001277F3"/>
    <w:rsid w:val="00131C1C"/>
    <w:rsid w:val="00135749"/>
    <w:rsid w:val="00141059"/>
    <w:rsid w:val="00142047"/>
    <w:rsid w:val="00147DDA"/>
    <w:rsid w:val="00151554"/>
    <w:rsid w:val="0015368F"/>
    <w:rsid w:val="001547B1"/>
    <w:rsid w:val="001548A0"/>
    <w:rsid w:val="00163FE8"/>
    <w:rsid w:val="00164882"/>
    <w:rsid w:val="00164E57"/>
    <w:rsid w:val="00172464"/>
    <w:rsid w:val="00176970"/>
    <w:rsid w:val="00181A44"/>
    <w:rsid w:val="001875D5"/>
    <w:rsid w:val="00193BAD"/>
    <w:rsid w:val="00194A40"/>
    <w:rsid w:val="00197402"/>
    <w:rsid w:val="001B019E"/>
    <w:rsid w:val="001C11F1"/>
    <w:rsid w:val="001C3734"/>
    <w:rsid w:val="001C47C5"/>
    <w:rsid w:val="001C537B"/>
    <w:rsid w:val="001C5D00"/>
    <w:rsid w:val="001C6AFE"/>
    <w:rsid w:val="001E5A95"/>
    <w:rsid w:val="001E6D05"/>
    <w:rsid w:val="001F25C7"/>
    <w:rsid w:val="001F6C97"/>
    <w:rsid w:val="001F6D94"/>
    <w:rsid w:val="00202A6D"/>
    <w:rsid w:val="0020400C"/>
    <w:rsid w:val="00213185"/>
    <w:rsid w:val="00213337"/>
    <w:rsid w:val="00222126"/>
    <w:rsid w:val="002263DC"/>
    <w:rsid w:val="00230B34"/>
    <w:rsid w:val="00232861"/>
    <w:rsid w:val="002343B6"/>
    <w:rsid w:val="0023707D"/>
    <w:rsid w:val="00241D83"/>
    <w:rsid w:val="00243F48"/>
    <w:rsid w:val="0024548D"/>
    <w:rsid w:val="00255936"/>
    <w:rsid w:val="00262831"/>
    <w:rsid w:val="002631F8"/>
    <w:rsid w:val="00263682"/>
    <w:rsid w:val="00265EBC"/>
    <w:rsid w:val="002705D5"/>
    <w:rsid w:val="00272C49"/>
    <w:rsid w:val="002752A4"/>
    <w:rsid w:val="00275AA3"/>
    <w:rsid w:val="0028381F"/>
    <w:rsid w:val="00283EA5"/>
    <w:rsid w:val="00284CEE"/>
    <w:rsid w:val="002853B0"/>
    <w:rsid w:val="00287076"/>
    <w:rsid w:val="00292CEC"/>
    <w:rsid w:val="002952EE"/>
    <w:rsid w:val="002A3FF7"/>
    <w:rsid w:val="002A6BF2"/>
    <w:rsid w:val="002B5BE3"/>
    <w:rsid w:val="002C1CFE"/>
    <w:rsid w:val="002C60BA"/>
    <w:rsid w:val="002C68B6"/>
    <w:rsid w:val="002D1A0C"/>
    <w:rsid w:val="002D2280"/>
    <w:rsid w:val="002D44A7"/>
    <w:rsid w:val="002D4D1E"/>
    <w:rsid w:val="002E27D3"/>
    <w:rsid w:val="002E744B"/>
    <w:rsid w:val="002F03DC"/>
    <w:rsid w:val="002F0FE0"/>
    <w:rsid w:val="002F1D46"/>
    <w:rsid w:val="003002F5"/>
    <w:rsid w:val="00302DD2"/>
    <w:rsid w:val="00310657"/>
    <w:rsid w:val="003120AA"/>
    <w:rsid w:val="003178D9"/>
    <w:rsid w:val="00333D16"/>
    <w:rsid w:val="00333F28"/>
    <w:rsid w:val="003361F2"/>
    <w:rsid w:val="0033733E"/>
    <w:rsid w:val="0033794D"/>
    <w:rsid w:val="00343B51"/>
    <w:rsid w:val="00345A58"/>
    <w:rsid w:val="00346BCE"/>
    <w:rsid w:val="003519D3"/>
    <w:rsid w:val="00352DBF"/>
    <w:rsid w:val="00353663"/>
    <w:rsid w:val="00354229"/>
    <w:rsid w:val="00355CE7"/>
    <w:rsid w:val="003614B2"/>
    <w:rsid w:val="00361A1A"/>
    <w:rsid w:val="00362715"/>
    <w:rsid w:val="003671E8"/>
    <w:rsid w:val="00373BFA"/>
    <w:rsid w:val="00374B3D"/>
    <w:rsid w:val="00383231"/>
    <w:rsid w:val="00383C9B"/>
    <w:rsid w:val="00384341"/>
    <w:rsid w:val="00384549"/>
    <w:rsid w:val="003856CB"/>
    <w:rsid w:val="003908F8"/>
    <w:rsid w:val="003916CA"/>
    <w:rsid w:val="003930F2"/>
    <w:rsid w:val="00394C0D"/>
    <w:rsid w:val="00395E3F"/>
    <w:rsid w:val="003A7BD5"/>
    <w:rsid w:val="003A7CEF"/>
    <w:rsid w:val="003B068E"/>
    <w:rsid w:val="003B1E95"/>
    <w:rsid w:val="003B2638"/>
    <w:rsid w:val="003D19FA"/>
    <w:rsid w:val="003D334F"/>
    <w:rsid w:val="003E4CA3"/>
    <w:rsid w:val="003E6767"/>
    <w:rsid w:val="003E6A7C"/>
    <w:rsid w:val="003F0108"/>
    <w:rsid w:val="0040134A"/>
    <w:rsid w:val="00401B09"/>
    <w:rsid w:val="004023CD"/>
    <w:rsid w:val="00402D54"/>
    <w:rsid w:val="00407B36"/>
    <w:rsid w:val="00410157"/>
    <w:rsid w:val="004164A3"/>
    <w:rsid w:val="0042234F"/>
    <w:rsid w:val="00426D04"/>
    <w:rsid w:val="00432934"/>
    <w:rsid w:val="00432A0C"/>
    <w:rsid w:val="00436A4B"/>
    <w:rsid w:val="004379E2"/>
    <w:rsid w:val="00441FEB"/>
    <w:rsid w:val="00446AC7"/>
    <w:rsid w:val="004475AC"/>
    <w:rsid w:val="00447928"/>
    <w:rsid w:val="0045018B"/>
    <w:rsid w:val="00454CC0"/>
    <w:rsid w:val="00455BFF"/>
    <w:rsid w:val="004563CA"/>
    <w:rsid w:val="00462202"/>
    <w:rsid w:val="00464C53"/>
    <w:rsid w:val="00466D88"/>
    <w:rsid w:val="004705D9"/>
    <w:rsid w:val="00471BBF"/>
    <w:rsid w:val="00474F58"/>
    <w:rsid w:val="00475B05"/>
    <w:rsid w:val="004868B5"/>
    <w:rsid w:val="00486E91"/>
    <w:rsid w:val="00493A22"/>
    <w:rsid w:val="00496898"/>
    <w:rsid w:val="004A2C57"/>
    <w:rsid w:val="004A32BA"/>
    <w:rsid w:val="004A6F7D"/>
    <w:rsid w:val="004B3C19"/>
    <w:rsid w:val="004B3C79"/>
    <w:rsid w:val="004B7137"/>
    <w:rsid w:val="004B7DD3"/>
    <w:rsid w:val="004B7EDE"/>
    <w:rsid w:val="004C0633"/>
    <w:rsid w:val="004C2C52"/>
    <w:rsid w:val="004C5427"/>
    <w:rsid w:val="004D173B"/>
    <w:rsid w:val="004E7AF6"/>
    <w:rsid w:val="004F0BAB"/>
    <w:rsid w:val="004F1FBB"/>
    <w:rsid w:val="004F23E4"/>
    <w:rsid w:val="004F25CF"/>
    <w:rsid w:val="00502596"/>
    <w:rsid w:val="00505D84"/>
    <w:rsid w:val="0050707D"/>
    <w:rsid w:val="00511A3B"/>
    <w:rsid w:val="00512037"/>
    <w:rsid w:val="0052390B"/>
    <w:rsid w:val="00525075"/>
    <w:rsid w:val="005251AD"/>
    <w:rsid w:val="00537180"/>
    <w:rsid w:val="0053776D"/>
    <w:rsid w:val="00540C22"/>
    <w:rsid w:val="0054252A"/>
    <w:rsid w:val="00543696"/>
    <w:rsid w:val="00553BD8"/>
    <w:rsid w:val="00553DA1"/>
    <w:rsid w:val="0055460C"/>
    <w:rsid w:val="00555C82"/>
    <w:rsid w:val="00560770"/>
    <w:rsid w:val="00560C59"/>
    <w:rsid w:val="005612E3"/>
    <w:rsid w:val="0057011C"/>
    <w:rsid w:val="00574CBA"/>
    <w:rsid w:val="00581EED"/>
    <w:rsid w:val="005837F0"/>
    <w:rsid w:val="00586B50"/>
    <w:rsid w:val="00590850"/>
    <w:rsid w:val="00594A1F"/>
    <w:rsid w:val="005A32B1"/>
    <w:rsid w:val="005B3081"/>
    <w:rsid w:val="005B53F9"/>
    <w:rsid w:val="005B59D9"/>
    <w:rsid w:val="005C1EBE"/>
    <w:rsid w:val="005C4A59"/>
    <w:rsid w:val="005D14AE"/>
    <w:rsid w:val="005D1C3A"/>
    <w:rsid w:val="005D5D89"/>
    <w:rsid w:val="005E1C94"/>
    <w:rsid w:val="005E4BB6"/>
    <w:rsid w:val="005F0E9E"/>
    <w:rsid w:val="005F190D"/>
    <w:rsid w:val="005F7BA8"/>
    <w:rsid w:val="005F7F64"/>
    <w:rsid w:val="00601C96"/>
    <w:rsid w:val="006060DC"/>
    <w:rsid w:val="006126AE"/>
    <w:rsid w:val="00633938"/>
    <w:rsid w:val="006412A4"/>
    <w:rsid w:val="006415D4"/>
    <w:rsid w:val="006418DB"/>
    <w:rsid w:val="006453D2"/>
    <w:rsid w:val="00654269"/>
    <w:rsid w:val="00660C60"/>
    <w:rsid w:val="006621E9"/>
    <w:rsid w:val="00670696"/>
    <w:rsid w:val="006828B2"/>
    <w:rsid w:val="006845CF"/>
    <w:rsid w:val="00685620"/>
    <w:rsid w:val="00686549"/>
    <w:rsid w:val="00696DB5"/>
    <w:rsid w:val="00697291"/>
    <w:rsid w:val="006A3BBB"/>
    <w:rsid w:val="006A4C83"/>
    <w:rsid w:val="006A5456"/>
    <w:rsid w:val="006B1A6F"/>
    <w:rsid w:val="006B2A8D"/>
    <w:rsid w:val="006B64D2"/>
    <w:rsid w:val="006C255B"/>
    <w:rsid w:val="006C41F9"/>
    <w:rsid w:val="006C44D3"/>
    <w:rsid w:val="006C7CF5"/>
    <w:rsid w:val="006D0F34"/>
    <w:rsid w:val="006D1080"/>
    <w:rsid w:val="006D2BF0"/>
    <w:rsid w:val="006D35E8"/>
    <w:rsid w:val="006D3DD7"/>
    <w:rsid w:val="006D56FB"/>
    <w:rsid w:val="006E03AA"/>
    <w:rsid w:val="006E158C"/>
    <w:rsid w:val="006E3B8E"/>
    <w:rsid w:val="006E45D7"/>
    <w:rsid w:val="006E7290"/>
    <w:rsid w:val="006F1F43"/>
    <w:rsid w:val="006F2576"/>
    <w:rsid w:val="006F39D8"/>
    <w:rsid w:val="006F46BF"/>
    <w:rsid w:val="006F46FA"/>
    <w:rsid w:val="006F486F"/>
    <w:rsid w:val="006F5602"/>
    <w:rsid w:val="007001FE"/>
    <w:rsid w:val="00700AC9"/>
    <w:rsid w:val="00701199"/>
    <w:rsid w:val="00706346"/>
    <w:rsid w:val="007100E9"/>
    <w:rsid w:val="00712930"/>
    <w:rsid w:val="00713B69"/>
    <w:rsid w:val="0071458C"/>
    <w:rsid w:val="007169EF"/>
    <w:rsid w:val="00725CA7"/>
    <w:rsid w:val="0072657E"/>
    <w:rsid w:val="007272F0"/>
    <w:rsid w:val="0073126F"/>
    <w:rsid w:val="0074443D"/>
    <w:rsid w:val="0074500D"/>
    <w:rsid w:val="007466BA"/>
    <w:rsid w:val="0074695D"/>
    <w:rsid w:val="00747998"/>
    <w:rsid w:val="00760A2D"/>
    <w:rsid w:val="00762D3E"/>
    <w:rsid w:val="00763891"/>
    <w:rsid w:val="007643D9"/>
    <w:rsid w:val="00765B65"/>
    <w:rsid w:val="0076629F"/>
    <w:rsid w:val="00766A55"/>
    <w:rsid w:val="00767902"/>
    <w:rsid w:val="00772668"/>
    <w:rsid w:val="007775FC"/>
    <w:rsid w:val="00790C1E"/>
    <w:rsid w:val="007917E9"/>
    <w:rsid w:val="007920A4"/>
    <w:rsid w:val="007935CD"/>
    <w:rsid w:val="00796296"/>
    <w:rsid w:val="007962F7"/>
    <w:rsid w:val="00797BD4"/>
    <w:rsid w:val="007A1BF9"/>
    <w:rsid w:val="007A684A"/>
    <w:rsid w:val="007A7365"/>
    <w:rsid w:val="007B4FD6"/>
    <w:rsid w:val="007C3997"/>
    <w:rsid w:val="007C6995"/>
    <w:rsid w:val="007D33D8"/>
    <w:rsid w:val="007D60DF"/>
    <w:rsid w:val="007D6AFF"/>
    <w:rsid w:val="007D7B7D"/>
    <w:rsid w:val="007E293F"/>
    <w:rsid w:val="007E3128"/>
    <w:rsid w:val="007F7E14"/>
    <w:rsid w:val="00801ADA"/>
    <w:rsid w:val="00801EA9"/>
    <w:rsid w:val="0081473F"/>
    <w:rsid w:val="00816392"/>
    <w:rsid w:val="0082106E"/>
    <w:rsid w:val="00822319"/>
    <w:rsid w:val="008266A0"/>
    <w:rsid w:val="008268DB"/>
    <w:rsid w:val="00831181"/>
    <w:rsid w:val="00831804"/>
    <w:rsid w:val="00834D92"/>
    <w:rsid w:val="008352B6"/>
    <w:rsid w:val="00837458"/>
    <w:rsid w:val="00837E46"/>
    <w:rsid w:val="0084199B"/>
    <w:rsid w:val="0085342D"/>
    <w:rsid w:val="008558EA"/>
    <w:rsid w:val="0086134A"/>
    <w:rsid w:val="0086186C"/>
    <w:rsid w:val="00865526"/>
    <w:rsid w:val="00865C80"/>
    <w:rsid w:val="00870A1F"/>
    <w:rsid w:val="00876ACB"/>
    <w:rsid w:val="008800B9"/>
    <w:rsid w:val="00880E99"/>
    <w:rsid w:val="00882AB4"/>
    <w:rsid w:val="0088616E"/>
    <w:rsid w:val="00887E59"/>
    <w:rsid w:val="008911B9"/>
    <w:rsid w:val="008935EB"/>
    <w:rsid w:val="00894184"/>
    <w:rsid w:val="008969FE"/>
    <w:rsid w:val="008A4AC3"/>
    <w:rsid w:val="008A5350"/>
    <w:rsid w:val="008B6E8C"/>
    <w:rsid w:val="008B7DF4"/>
    <w:rsid w:val="008C0D91"/>
    <w:rsid w:val="008C11A4"/>
    <w:rsid w:val="008C1B8C"/>
    <w:rsid w:val="008E1A64"/>
    <w:rsid w:val="008E31FA"/>
    <w:rsid w:val="008E57C5"/>
    <w:rsid w:val="008F478B"/>
    <w:rsid w:val="008F4BB9"/>
    <w:rsid w:val="008F4FA7"/>
    <w:rsid w:val="008F7548"/>
    <w:rsid w:val="009016C8"/>
    <w:rsid w:val="00901FD3"/>
    <w:rsid w:val="00903CD1"/>
    <w:rsid w:val="00903F1A"/>
    <w:rsid w:val="009054BE"/>
    <w:rsid w:val="00906C1B"/>
    <w:rsid w:val="0091523C"/>
    <w:rsid w:val="00915B80"/>
    <w:rsid w:val="0092523A"/>
    <w:rsid w:val="009311B4"/>
    <w:rsid w:val="009401D9"/>
    <w:rsid w:val="00945A01"/>
    <w:rsid w:val="009466A1"/>
    <w:rsid w:val="0094713C"/>
    <w:rsid w:val="00947424"/>
    <w:rsid w:val="009543DB"/>
    <w:rsid w:val="009570B2"/>
    <w:rsid w:val="00960F7F"/>
    <w:rsid w:val="00962AC7"/>
    <w:rsid w:val="00966ACB"/>
    <w:rsid w:val="00971EC9"/>
    <w:rsid w:val="00984164"/>
    <w:rsid w:val="00984911"/>
    <w:rsid w:val="00986A83"/>
    <w:rsid w:val="009922E8"/>
    <w:rsid w:val="0099314D"/>
    <w:rsid w:val="00996DC1"/>
    <w:rsid w:val="009A209D"/>
    <w:rsid w:val="009A3902"/>
    <w:rsid w:val="009A48FE"/>
    <w:rsid w:val="009A4AFF"/>
    <w:rsid w:val="009B468A"/>
    <w:rsid w:val="009C1068"/>
    <w:rsid w:val="009C60FE"/>
    <w:rsid w:val="009D6C25"/>
    <w:rsid w:val="009D7D83"/>
    <w:rsid w:val="009E1E95"/>
    <w:rsid w:val="009E4BCE"/>
    <w:rsid w:val="009E536C"/>
    <w:rsid w:val="009E6DD5"/>
    <w:rsid w:val="009E7842"/>
    <w:rsid w:val="009F18E3"/>
    <w:rsid w:val="009F4CF3"/>
    <w:rsid w:val="00A000EB"/>
    <w:rsid w:val="00A02444"/>
    <w:rsid w:val="00A06F33"/>
    <w:rsid w:val="00A07A96"/>
    <w:rsid w:val="00A10A8E"/>
    <w:rsid w:val="00A10E1E"/>
    <w:rsid w:val="00A15D8C"/>
    <w:rsid w:val="00A23B24"/>
    <w:rsid w:val="00A33D98"/>
    <w:rsid w:val="00A41725"/>
    <w:rsid w:val="00A4267B"/>
    <w:rsid w:val="00A44CA2"/>
    <w:rsid w:val="00A44E38"/>
    <w:rsid w:val="00A450C8"/>
    <w:rsid w:val="00A5037F"/>
    <w:rsid w:val="00A51166"/>
    <w:rsid w:val="00A53DF4"/>
    <w:rsid w:val="00A5721B"/>
    <w:rsid w:val="00A60D01"/>
    <w:rsid w:val="00A62095"/>
    <w:rsid w:val="00A63EA5"/>
    <w:rsid w:val="00A64D83"/>
    <w:rsid w:val="00A64E3E"/>
    <w:rsid w:val="00A66DC0"/>
    <w:rsid w:val="00A70496"/>
    <w:rsid w:val="00A7106C"/>
    <w:rsid w:val="00A754FB"/>
    <w:rsid w:val="00A7691D"/>
    <w:rsid w:val="00A8122B"/>
    <w:rsid w:val="00A917A7"/>
    <w:rsid w:val="00A964D7"/>
    <w:rsid w:val="00AA1347"/>
    <w:rsid w:val="00AA225B"/>
    <w:rsid w:val="00AB1256"/>
    <w:rsid w:val="00AB2153"/>
    <w:rsid w:val="00AB3522"/>
    <w:rsid w:val="00AB5457"/>
    <w:rsid w:val="00AB5D56"/>
    <w:rsid w:val="00AB686A"/>
    <w:rsid w:val="00AB6EE2"/>
    <w:rsid w:val="00AB77AA"/>
    <w:rsid w:val="00AC30F2"/>
    <w:rsid w:val="00AC3298"/>
    <w:rsid w:val="00AC749C"/>
    <w:rsid w:val="00AD2EE0"/>
    <w:rsid w:val="00AD79D4"/>
    <w:rsid w:val="00AD7D8F"/>
    <w:rsid w:val="00AE1CA6"/>
    <w:rsid w:val="00AE242C"/>
    <w:rsid w:val="00AE2655"/>
    <w:rsid w:val="00AE5BFE"/>
    <w:rsid w:val="00AF1098"/>
    <w:rsid w:val="00B00997"/>
    <w:rsid w:val="00B0282E"/>
    <w:rsid w:val="00B02C37"/>
    <w:rsid w:val="00B064E5"/>
    <w:rsid w:val="00B07803"/>
    <w:rsid w:val="00B07FCC"/>
    <w:rsid w:val="00B11444"/>
    <w:rsid w:val="00B11BA6"/>
    <w:rsid w:val="00B120D8"/>
    <w:rsid w:val="00B131E8"/>
    <w:rsid w:val="00B16DFB"/>
    <w:rsid w:val="00B20F04"/>
    <w:rsid w:val="00B219C0"/>
    <w:rsid w:val="00B23C21"/>
    <w:rsid w:val="00B243A7"/>
    <w:rsid w:val="00B42CF7"/>
    <w:rsid w:val="00B4560B"/>
    <w:rsid w:val="00B47947"/>
    <w:rsid w:val="00B53B74"/>
    <w:rsid w:val="00B56F47"/>
    <w:rsid w:val="00B62D0F"/>
    <w:rsid w:val="00B66462"/>
    <w:rsid w:val="00B675BC"/>
    <w:rsid w:val="00B67731"/>
    <w:rsid w:val="00B72263"/>
    <w:rsid w:val="00B8370C"/>
    <w:rsid w:val="00B84AB9"/>
    <w:rsid w:val="00B864BD"/>
    <w:rsid w:val="00B86A97"/>
    <w:rsid w:val="00B86BC8"/>
    <w:rsid w:val="00B93A04"/>
    <w:rsid w:val="00B947C0"/>
    <w:rsid w:val="00B966C1"/>
    <w:rsid w:val="00BA71B5"/>
    <w:rsid w:val="00BB0FF5"/>
    <w:rsid w:val="00BB5034"/>
    <w:rsid w:val="00BB5581"/>
    <w:rsid w:val="00BB7AD9"/>
    <w:rsid w:val="00BC3869"/>
    <w:rsid w:val="00BC4A32"/>
    <w:rsid w:val="00BD4B60"/>
    <w:rsid w:val="00BD511C"/>
    <w:rsid w:val="00BE1541"/>
    <w:rsid w:val="00BE19AA"/>
    <w:rsid w:val="00BE2770"/>
    <w:rsid w:val="00BE766C"/>
    <w:rsid w:val="00BF1793"/>
    <w:rsid w:val="00BF59C5"/>
    <w:rsid w:val="00BF7D71"/>
    <w:rsid w:val="00C0309E"/>
    <w:rsid w:val="00C05823"/>
    <w:rsid w:val="00C11038"/>
    <w:rsid w:val="00C16CDA"/>
    <w:rsid w:val="00C1709B"/>
    <w:rsid w:val="00C2132A"/>
    <w:rsid w:val="00C23366"/>
    <w:rsid w:val="00C258A9"/>
    <w:rsid w:val="00C260EB"/>
    <w:rsid w:val="00C31154"/>
    <w:rsid w:val="00C316FD"/>
    <w:rsid w:val="00C318C2"/>
    <w:rsid w:val="00C32895"/>
    <w:rsid w:val="00C40E15"/>
    <w:rsid w:val="00C5022D"/>
    <w:rsid w:val="00C51D75"/>
    <w:rsid w:val="00C55D14"/>
    <w:rsid w:val="00C571B2"/>
    <w:rsid w:val="00C64B64"/>
    <w:rsid w:val="00C708E9"/>
    <w:rsid w:val="00C7247F"/>
    <w:rsid w:val="00C754FC"/>
    <w:rsid w:val="00C766CB"/>
    <w:rsid w:val="00C77BA4"/>
    <w:rsid w:val="00C801F1"/>
    <w:rsid w:val="00C830D1"/>
    <w:rsid w:val="00C86BFE"/>
    <w:rsid w:val="00C86C11"/>
    <w:rsid w:val="00C93234"/>
    <w:rsid w:val="00C942B6"/>
    <w:rsid w:val="00C948F3"/>
    <w:rsid w:val="00C97A59"/>
    <w:rsid w:val="00CA302F"/>
    <w:rsid w:val="00CA54D4"/>
    <w:rsid w:val="00CA682A"/>
    <w:rsid w:val="00CB0785"/>
    <w:rsid w:val="00CB101A"/>
    <w:rsid w:val="00CB3C2C"/>
    <w:rsid w:val="00CB4E54"/>
    <w:rsid w:val="00CB5A44"/>
    <w:rsid w:val="00CC3336"/>
    <w:rsid w:val="00CD1205"/>
    <w:rsid w:val="00CE09E5"/>
    <w:rsid w:val="00CE28E0"/>
    <w:rsid w:val="00CE4CF1"/>
    <w:rsid w:val="00CF3A60"/>
    <w:rsid w:val="00D005F9"/>
    <w:rsid w:val="00D012D4"/>
    <w:rsid w:val="00D0378C"/>
    <w:rsid w:val="00D1050D"/>
    <w:rsid w:val="00D1400C"/>
    <w:rsid w:val="00D14E1D"/>
    <w:rsid w:val="00D215B1"/>
    <w:rsid w:val="00D225EA"/>
    <w:rsid w:val="00D25411"/>
    <w:rsid w:val="00D26C1D"/>
    <w:rsid w:val="00D27A29"/>
    <w:rsid w:val="00D30013"/>
    <w:rsid w:val="00D3383A"/>
    <w:rsid w:val="00D37352"/>
    <w:rsid w:val="00D376E5"/>
    <w:rsid w:val="00D3794D"/>
    <w:rsid w:val="00D42224"/>
    <w:rsid w:val="00D47C42"/>
    <w:rsid w:val="00D5029F"/>
    <w:rsid w:val="00D503F8"/>
    <w:rsid w:val="00D543BF"/>
    <w:rsid w:val="00D55AAC"/>
    <w:rsid w:val="00D55CEC"/>
    <w:rsid w:val="00D56815"/>
    <w:rsid w:val="00D6056B"/>
    <w:rsid w:val="00D61555"/>
    <w:rsid w:val="00D6464A"/>
    <w:rsid w:val="00D677E9"/>
    <w:rsid w:val="00D67C5F"/>
    <w:rsid w:val="00D67FFD"/>
    <w:rsid w:val="00D72C26"/>
    <w:rsid w:val="00D77D67"/>
    <w:rsid w:val="00D82AC8"/>
    <w:rsid w:val="00D900D4"/>
    <w:rsid w:val="00D91F17"/>
    <w:rsid w:val="00D941D8"/>
    <w:rsid w:val="00D94AD5"/>
    <w:rsid w:val="00DA2E4D"/>
    <w:rsid w:val="00DA6E69"/>
    <w:rsid w:val="00DB335A"/>
    <w:rsid w:val="00DB5EFB"/>
    <w:rsid w:val="00DC07E5"/>
    <w:rsid w:val="00DC5B1C"/>
    <w:rsid w:val="00DD1D2B"/>
    <w:rsid w:val="00DD501A"/>
    <w:rsid w:val="00DE2B94"/>
    <w:rsid w:val="00DE3205"/>
    <w:rsid w:val="00DE3DEF"/>
    <w:rsid w:val="00DE6BA5"/>
    <w:rsid w:val="00DE7CA5"/>
    <w:rsid w:val="00DF3447"/>
    <w:rsid w:val="00DF5C83"/>
    <w:rsid w:val="00E057D5"/>
    <w:rsid w:val="00E05863"/>
    <w:rsid w:val="00E05994"/>
    <w:rsid w:val="00E05BBC"/>
    <w:rsid w:val="00E06779"/>
    <w:rsid w:val="00E10D91"/>
    <w:rsid w:val="00E15399"/>
    <w:rsid w:val="00E21375"/>
    <w:rsid w:val="00E23F4C"/>
    <w:rsid w:val="00E26D4D"/>
    <w:rsid w:val="00E305AC"/>
    <w:rsid w:val="00E31A69"/>
    <w:rsid w:val="00E33ACF"/>
    <w:rsid w:val="00E41852"/>
    <w:rsid w:val="00E43E9F"/>
    <w:rsid w:val="00E45428"/>
    <w:rsid w:val="00E47615"/>
    <w:rsid w:val="00E50785"/>
    <w:rsid w:val="00E534EB"/>
    <w:rsid w:val="00E62196"/>
    <w:rsid w:val="00E636C0"/>
    <w:rsid w:val="00E65C0E"/>
    <w:rsid w:val="00E66C50"/>
    <w:rsid w:val="00E6795F"/>
    <w:rsid w:val="00E71CE0"/>
    <w:rsid w:val="00E72CB0"/>
    <w:rsid w:val="00E74A58"/>
    <w:rsid w:val="00E74B9F"/>
    <w:rsid w:val="00E75A7D"/>
    <w:rsid w:val="00E94F0F"/>
    <w:rsid w:val="00EA145F"/>
    <w:rsid w:val="00EA222B"/>
    <w:rsid w:val="00EA6D22"/>
    <w:rsid w:val="00EB26E8"/>
    <w:rsid w:val="00EB2A94"/>
    <w:rsid w:val="00EB6468"/>
    <w:rsid w:val="00EB7961"/>
    <w:rsid w:val="00EC7CDD"/>
    <w:rsid w:val="00ED4D48"/>
    <w:rsid w:val="00ED55BE"/>
    <w:rsid w:val="00ED5E0C"/>
    <w:rsid w:val="00ED7CCF"/>
    <w:rsid w:val="00F02022"/>
    <w:rsid w:val="00F1788F"/>
    <w:rsid w:val="00F21708"/>
    <w:rsid w:val="00F21EAB"/>
    <w:rsid w:val="00F220CA"/>
    <w:rsid w:val="00F229C3"/>
    <w:rsid w:val="00F22A3B"/>
    <w:rsid w:val="00F2333F"/>
    <w:rsid w:val="00F30E53"/>
    <w:rsid w:val="00F3563C"/>
    <w:rsid w:val="00F35D6E"/>
    <w:rsid w:val="00F407A3"/>
    <w:rsid w:val="00F4154B"/>
    <w:rsid w:val="00F45418"/>
    <w:rsid w:val="00F462CC"/>
    <w:rsid w:val="00F46DD3"/>
    <w:rsid w:val="00F60F22"/>
    <w:rsid w:val="00F6126C"/>
    <w:rsid w:val="00F64493"/>
    <w:rsid w:val="00F6543D"/>
    <w:rsid w:val="00F67B03"/>
    <w:rsid w:val="00F70030"/>
    <w:rsid w:val="00F71C96"/>
    <w:rsid w:val="00F72FA7"/>
    <w:rsid w:val="00F73B5E"/>
    <w:rsid w:val="00F744D3"/>
    <w:rsid w:val="00F75116"/>
    <w:rsid w:val="00F8262C"/>
    <w:rsid w:val="00F83B80"/>
    <w:rsid w:val="00F873DD"/>
    <w:rsid w:val="00F90F89"/>
    <w:rsid w:val="00F91EC4"/>
    <w:rsid w:val="00F94AA4"/>
    <w:rsid w:val="00FA437A"/>
    <w:rsid w:val="00FB4438"/>
    <w:rsid w:val="00FC27CC"/>
    <w:rsid w:val="00FC3CF4"/>
    <w:rsid w:val="00FC4634"/>
    <w:rsid w:val="00FC4AEC"/>
    <w:rsid w:val="00FC4CF4"/>
    <w:rsid w:val="00FD4FE8"/>
    <w:rsid w:val="00FE1014"/>
    <w:rsid w:val="00FE32A7"/>
    <w:rsid w:val="00FE6E35"/>
    <w:rsid w:val="00FF01DC"/>
    <w:rsid w:val="00FF2984"/>
    <w:rsid w:val="00FF3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FDC59"/>
  <w15:chartTrackingRefBased/>
  <w15:docId w15:val="{CAD35FCD-C165-4735-8B38-10F6C448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4E"/>
    <w:pPr>
      <w:spacing w:before="120" w:after="12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9C1068"/>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9C1068"/>
    <w:rPr>
      <w:rFonts w:ascii="Times New Roman" w:eastAsia="Times New Roman" w:hAnsi="Times New Roman" w:cs="Times New Roman"/>
      <w:sz w:val="24"/>
      <w:szCs w:val="24"/>
      <w:lang w:val="es-ES" w:eastAsia="es-MX"/>
    </w:rPr>
  </w:style>
  <w:style w:type="paragraph" w:styleId="Encabezado">
    <w:name w:val="header"/>
    <w:basedOn w:val="Normal"/>
    <w:link w:val="EncabezadoCar"/>
    <w:rsid w:val="009C1068"/>
    <w:pPr>
      <w:tabs>
        <w:tab w:val="center" w:pos="4252"/>
        <w:tab w:val="right" w:pos="8504"/>
      </w:tabs>
    </w:pPr>
  </w:style>
  <w:style w:type="character" w:customStyle="1" w:styleId="EncabezadoCar">
    <w:name w:val="Encabezado Car"/>
    <w:basedOn w:val="Fuentedeprrafopredeter"/>
    <w:link w:val="Encabezado"/>
    <w:rsid w:val="009C10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C1068"/>
    <w:pPr>
      <w:tabs>
        <w:tab w:val="center" w:pos="4252"/>
        <w:tab w:val="right" w:pos="8504"/>
      </w:tabs>
    </w:pPr>
  </w:style>
  <w:style w:type="character" w:customStyle="1" w:styleId="PiedepginaCar">
    <w:name w:val="Pie de página Car"/>
    <w:basedOn w:val="Fuentedeprrafopredeter"/>
    <w:link w:val="Piedepgina"/>
    <w:uiPriority w:val="99"/>
    <w:rsid w:val="009C1068"/>
    <w:rPr>
      <w:rFonts w:ascii="Times New Roman" w:eastAsia="Times New Roman" w:hAnsi="Times New Roman" w:cs="Times New Roman"/>
      <w:sz w:val="24"/>
      <w:szCs w:val="24"/>
      <w:lang w:val="es-ES" w:eastAsia="es-ES"/>
    </w:rPr>
  </w:style>
  <w:style w:type="paragraph" w:styleId="Prrafodelista">
    <w:name w:val="List Paragraph"/>
    <w:aliases w:val="CNBV Parrafo1,Parrafo 1,Cita texto,Lista multicolor - Énfasis 11,Lista vistosa - Énfasis 11,Cuadrícula media 1 - Énfasis 21,Cuadrícula media 1 - Énfasis 211,List Paragraph-Thesis"/>
    <w:basedOn w:val="Normal"/>
    <w:link w:val="PrrafodelistaCar"/>
    <w:uiPriority w:val="34"/>
    <w:qFormat/>
    <w:rsid w:val="009C1068"/>
    <w:pPr>
      <w:ind w:left="708"/>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9C106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C106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julio"/>
    <w:link w:val="4GChar"/>
    <w:uiPriority w:val="99"/>
    <w:unhideWhenUsed/>
    <w:qFormat/>
    <w:rsid w:val="009C1068"/>
    <w:rPr>
      <w:vertAlign w:val="superscript"/>
    </w:rPr>
  </w:style>
  <w:style w:type="character" w:styleId="Hipervnculo">
    <w:name w:val="Hyperlink"/>
    <w:uiPriority w:val="99"/>
    <w:unhideWhenUsed/>
    <w:rsid w:val="009C1068"/>
    <w:rPr>
      <w:rFonts w:ascii="Arial" w:hAnsi="Arial" w:cs="Arial" w:hint="default"/>
      <w:strike w:val="0"/>
      <w:dstrike w:val="0"/>
      <w:color w:val="762123"/>
      <w:sz w:val="27"/>
      <w:szCs w:val="27"/>
      <w:u w:val="none"/>
      <w:effect w:val="none"/>
    </w:rPr>
  </w:style>
  <w:style w:type="character" w:styleId="Textoennegrita">
    <w:name w:val="Strong"/>
    <w:uiPriority w:val="22"/>
    <w:qFormat/>
    <w:rsid w:val="009C1068"/>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C1068"/>
    <w:pPr>
      <w:spacing w:before="0" w:after="0"/>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NBV Parrafo1 Car,Parrafo 1 Car,Cita texto Car,Lista multicolor - Énfasis 11 Car,Lista vistosa - Énfasis 11 Car,Cuadrícula media 1 - Énfasis 21 Car,Cuadrícula media 1 - Énfasis 211 Car,List Paragraph-Thesis Car"/>
    <w:link w:val="Prrafodelista"/>
    <w:uiPriority w:val="34"/>
    <w:locked/>
    <w:rsid w:val="009C10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9C1068"/>
    <w:pPr>
      <w:spacing w:before="0" w:after="0"/>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0"/>
    <w:rsid w:val="009C1068"/>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9C1068"/>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link w:val="Sinespaciado"/>
    <w:uiPriority w:val="1"/>
    <w:rsid w:val="009C1068"/>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9C1068"/>
    <w:rPr>
      <w:sz w:val="16"/>
      <w:szCs w:val="16"/>
    </w:rPr>
  </w:style>
  <w:style w:type="paragraph" w:styleId="Textocomentario">
    <w:name w:val="annotation text"/>
    <w:basedOn w:val="Normal"/>
    <w:link w:val="TextocomentarioCar"/>
    <w:uiPriority w:val="99"/>
    <w:semiHidden/>
    <w:unhideWhenUsed/>
    <w:rsid w:val="009C1068"/>
    <w:rPr>
      <w:sz w:val="20"/>
      <w:szCs w:val="20"/>
    </w:rPr>
  </w:style>
  <w:style w:type="character" w:customStyle="1" w:styleId="TextocomentarioCar">
    <w:name w:val="Texto comentario Car"/>
    <w:basedOn w:val="Fuentedeprrafopredeter"/>
    <w:link w:val="Textocomentario"/>
    <w:uiPriority w:val="99"/>
    <w:semiHidden/>
    <w:rsid w:val="009C106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1068"/>
    <w:rPr>
      <w:b/>
      <w:bCs/>
    </w:rPr>
  </w:style>
  <w:style w:type="character" w:customStyle="1" w:styleId="AsuntodelcomentarioCar">
    <w:name w:val="Asunto del comentario Car"/>
    <w:basedOn w:val="TextocomentarioCar"/>
    <w:link w:val="Asuntodelcomentario"/>
    <w:uiPriority w:val="99"/>
    <w:semiHidden/>
    <w:rsid w:val="009C1068"/>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9C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1068"/>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7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24645">
      <w:bodyDiv w:val="1"/>
      <w:marLeft w:val="0"/>
      <w:marRight w:val="0"/>
      <w:marTop w:val="0"/>
      <w:marBottom w:val="0"/>
      <w:divBdr>
        <w:top w:val="none" w:sz="0" w:space="0" w:color="auto"/>
        <w:left w:val="none" w:sz="0" w:space="0" w:color="auto"/>
        <w:bottom w:val="none" w:sz="0" w:space="0" w:color="auto"/>
        <w:right w:val="none" w:sz="0" w:space="0" w:color="auto"/>
      </w:divBdr>
      <w:divsChild>
        <w:div w:id="2055619125">
          <w:marLeft w:val="0"/>
          <w:marRight w:val="0"/>
          <w:marTop w:val="0"/>
          <w:marBottom w:val="0"/>
          <w:divBdr>
            <w:top w:val="none" w:sz="0" w:space="0" w:color="auto"/>
            <w:left w:val="none" w:sz="0" w:space="0" w:color="auto"/>
            <w:bottom w:val="none" w:sz="0" w:space="0" w:color="auto"/>
            <w:right w:val="none" w:sz="0" w:space="0" w:color="auto"/>
          </w:divBdr>
        </w:div>
        <w:div w:id="109207329">
          <w:marLeft w:val="0"/>
          <w:marRight w:val="0"/>
          <w:marTop w:val="0"/>
          <w:marBottom w:val="0"/>
          <w:divBdr>
            <w:top w:val="none" w:sz="0" w:space="0" w:color="auto"/>
            <w:left w:val="none" w:sz="0" w:space="0" w:color="auto"/>
            <w:bottom w:val="none" w:sz="0" w:space="0" w:color="auto"/>
            <w:right w:val="none" w:sz="0" w:space="0" w:color="auto"/>
          </w:divBdr>
        </w:div>
        <w:div w:id="367535617">
          <w:marLeft w:val="0"/>
          <w:marRight w:val="0"/>
          <w:marTop w:val="0"/>
          <w:marBottom w:val="0"/>
          <w:divBdr>
            <w:top w:val="none" w:sz="0" w:space="0" w:color="auto"/>
            <w:left w:val="none" w:sz="0" w:space="0" w:color="auto"/>
            <w:bottom w:val="none" w:sz="0" w:space="0" w:color="auto"/>
            <w:right w:val="none" w:sz="0" w:space="0" w:color="auto"/>
          </w:divBdr>
        </w:div>
        <w:div w:id="80373337">
          <w:marLeft w:val="0"/>
          <w:marRight w:val="0"/>
          <w:marTop w:val="0"/>
          <w:marBottom w:val="0"/>
          <w:divBdr>
            <w:top w:val="none" w:sz="0" w:space="0" w:color="auto"/>
            <w:left w:val="none" w:sz="0" w:space="0" w:color="auto"/>
            <w:bottom w:val="none" w:sz="0" w:space="0" w:color="auto"/>
            <w:right w:val="none" w:sz="0" w:space="0" w:color="auto"/>
          </w:divBdr>
        </w:div>
        <w:div w:id="320473960">
          <w:marLeft w:val="0"/>
          <w:marRight w:val="0"/>
          <w:marTop w:val="0"/>
          <w:marBottom w:val="0"/>
          <w:divBdr>
            <w:top w:val="none" w:sz="0" w:space="0" w:color="auto"/>
            <w:left w:val="none" w:sz="0" w:space="0" w:color="auto"/>
            <w:bottom w:val="none" w:sz="0" w:space="0" w:color="auto"/>
            <w:right w:val="none" w:sz="0" w:space="0" w:color="auto"/>
          </w:divBdr>
        </w:div>
        <w:div w:id="752822833">
          <w:marLeft w:val="0"/>
          <w:marRight w:val="0"/>
          <w:marTop w:val="0"/>
          <w:marBottom w:val="0"/>
          <w:divBdr>
            <w:top w:val="none" w:sz="0" w:space="0" w:color="auto"/>
            <w:left w:val="none" w:sz="0" w:space="0" w:color="auto"/>
            <w:bottom w:val="none" w:sz="0" w:space="0" w:color="auto"/>
            <w:right w:val="none" w:sz="0" w:space="0" w:color="auto"/>
          </w:divBdr>
        </w:div>
        <w:div w:id="636885419">
          <w:marLeft w:val="0"/>
          <w:marRight w:val="0"/>
          <w:marTop w:val="0"/>
          <w:marBottom w:val="0"/>
          <w:divBdr>
            <w:top w:val="none" w:sz="0" w:space="0" w:color="auto"/>
            <w:left w:val="none" w:sz="0" w:space="0" w:color="auto"/>
            <w:bottom w:val="none" w:sz="0" w:space="0" w:color="auto"/>
            <w:right w:val="none" w:sz="0" w:space="0" w:color="auto"/>
          </w:divBdr>
        </w:div>
        <w:div w:id="1464814824">
          <w:marLeft w:val="0"/>
          <w:marRight w:val="0"/>
          <w:marTop w:val="0"/>
          <w:marBottom w:val="0"/>
          <w:divBdr>
            <w:top w:val="none" w:sz="0" w:space="0" w:color="auto"/>
            <w:left w:val="none" w:sz="0" w:space="0" w:color="auto"/>
            <w:bottom w:val="none" w:sz="0" w:space="0" w:color="auto"/>
            <w:right w:val="none" w:sz="0" w:space="0" w:color="auto"/>
          </w:divBdr>
        </w:div>
      </w:divsChild>
    </w:div>
    <w:div w:id="169100851">
      <w:bodyDiv w:val="1"/>
      <w:marLeft w:val="0"/>
      <w:marRight w:val="0"/>
      <w:marTop w:val="0"/>
      <w:marBottom w:val="0"/>
      <w:divBdr>
        <w:top w:val="none" w:sz="0" w:space="0" w:color="auto"/>
        <w:left w:val="none" w:sz="0" w:space="0" w:color="auto"/>
        <w:bottom w:val="none" w:sz="0" w:space="0" w:color="auto"/>
        <w:right w:val="none" w:sz="0" w:space="0" w:color="auto"/>
      </w:divBdr>
    </w:div>
    <w:div w:id="408038561">
      <w:bodyDiv w:val="1"/>
      <w:marLeft w:val="0"/>
      <w:marRight w:val="0"/>
      <w:marTop w:val="0"/>
      <w:marBottom w:val="0"/>
      <w:divBdr>
        <w:top w:val="none" w:sz="0" w:space="0" w:color="auto"/>
        <w:left w:val="none" w:sz="0" w:space="0" w:color="auto"/>
        <w:bottom w:val="none" w:sz="0" w:space="0" w:color="auto"/>
        <w:right w:val="none" w:sz="0" w:space="0" w:color="auto"/>
      </w:divBdr>
    </w:div>
    <w:div w:id="486552223">
      <w:bodyDiv w:val="1"/>
      <w:marLeft w:val="0"/>
      <w:marRight w:val="0"/>
      <w:marTop w:val="0"/>
      <w:marBottom w:val="0"/>
      <w:divBdr>
        <w:top w:val="none" w:sz="0" w:space="0" w:color="auto"/>
        <w:left w:val="none" w:sz="0" w:space="0" w:color="auto"/>
        <w:bottom w:val="none" w:sz="0" w:space="0" w:color="auto"/>
        <w:right w:val="none" w:sz="0" w:space="0" w:color="auto"/>
      </w:divBdr>
    </w:div>
    <w:div w:id="497039506">
      <w:bodyDiv w:val="1"/>
      <w:marLeft w:val="0"/>
      <w:marRight w:val="0"/>
      <w:marTop w:val="0"/>
      <w:marBottom w:val="0"/>
      <w:divBdr>
        <w:top w:val="none" w:sz="0" w:space="0" w:color="auto"/>
        <w:left w:val="none" w:sz="0" w:space="0" w:color="auto"/>
        <w:bottom w:val="none" w:sz="0" w:space="0" w:color="auto"/>
        <w:right w:val="none" w:sz="0" w:space="0" w:color="auto"/>
      </w:divBdr>
    </w:div>
    <w:div w:id="526992551">
      <w:bodyDiv w:val="1"/>
      <w:marLeft w:val="0"/>
      <w:marRight w:val="0"/>
      <w:marTop w:val="0"/>
      <w:marBottom w:val="0"/>
      <w:divBdr>
        <w:top w:val="none" w:sz="0" w:space="0" w:color="auto"/>
        <w:left w:val="none" w:sz="0" w:space="0" w:color="auto"/>
        <w:bottom w:val="none" w:sz="0" w:space="0" w:color="auto"/>
        <w:right w:val="none" w:sz="0" w:space="0" w:color="auto"/>
      </w:divBdr>
    </w:div>
    <w:div w:id="617642535">
      <w:bodyDiv w:val="1"/>
      <w:marLeft w:val="0"/>
      <w:marRight w:val="0"/>
      <w:marTop w:val="0"/>
      <w:marBottom w:val="0"/>
      <w:divBdr>
        <w:top w:val="none" w:sz="0" w:space="0" w:color="auto"/>
        <w:left w:val="none" w:sz="0" w:space="0" w:color="auto"/>
        <w:bottom w:val="none" w:sz="0" w:space="0" w:color="auto"/>
        <w:right w:val="none" w:sz="0" w:space="0" w:color="auto"/>
      </w:divBdr>
    </w:div>
    <w:div w:id="676035007">
      <w:bodyDiv w:val="1"/>
      <w:marLeft w:val="0"/>
      <w:marRight w:val="0"/>
      <w:marTop w:val="0"/>
      <w:marBottom w:val="0"/>
      <w:divBdr>
        <w:top w:val="none" w:sz="0" w:space="0" w:color="auto"/>
        <w:left w:val="none" w:sz="0" w:space="0" w:color="auto"/>
        <w:bottom w:val="none" w:sz="0" w:space="0" w:color="auto"/>
        <w:right w:val="none" w:sz="0" w:space="0" w:color="auto"/>
      </w:divBdr>
    </w:div>
    <w:div w:id="832649951">
      <w:bodyDiv w:val="1"/>
      <w:marLeft w:val="0"/>
      <w:marRight w:val="0"/>
      <w:marTop w:val="0"/>
      <w:marBottom w:val="0"/>
      <w:divBdr>
        <w:top w:val="none" w:sz="0" w:space="0" w:color="auto"/>
        <w:left w:val="none" w:sz="0" w:space="0" w:color="auto"/>
        <w:bottom w:val="none" w:sz="0" w:space="0" w:color="auto"/>
        <w:right w:val="none" w:sz="0" w:space="0" w:color="auto"/>
      </w:divBdr>
    </w:div>
    <w:div w:id="939800572">
      <w:bodyDiv w:val="1"/>
      <w:marLeft w:val="0"/>
      <w:marRight w:val="0"/>
      <w:marTop w:val="0"/>
      <w:marBottom w:val="0"/>
      <w:divBdr>
        <w:top w:val="none" w:sz="0" w:space="0" w:color="auto"/>
        <w:left w:val="none" w:sz="0" w:space="0" w:color="auto"/>
        <w:bottom w:val="none" w:sz="0" w:space="0" w:color="auto"/>
        <w:right w:val="none" w:sz="0" w:space="0" w:color="auto"/>
      </w:divBdr>
    </w:div>
    <w:div w:id="1019429749">
      <w:bodyDiv w:val="1"/>
      <w:marLeft w:val="0"/>
      <w:marRight w:val="0"/>
      <w:marTop w:val="0"/>
      <w:marBottom w:val="0"/>
      <w:divBdr>
        <w:top w:val="none" w:sz="0" w:space="0" w:color="auto"/>
        <w:left w:val="none" w:sz="0" w:space="0" w:color="auto"/>
        <w:bottom w:val="none" w:sz="0" w:space="0" w:color="auto"/>
        <w:right w:val="none" w:sz="0" w:space="0" w:color="auto"/>
      </w:divBdr>
    </w:div>
    <w:div w:id="1094668062">
      <w:bodyDiv w:val="1"/>
      <w:marLeft w:val="0"/>
      <w:marRight w:val="0"/>
      <w:marTop w:val="0"/>
      <w:marBottom w:val="0"/>
      <w:divBdr>
        <w:top w:val="none" w:sz="0" w:space="0" w:color="auto"/>
        <w:left w:val="none" w:sz="0" w:space="0" w:color="auto"/>
        <w:bottom w:val="none" w:sz="0" w:space="0" w:color="auto"/>
        <w:right w:val="none" w:sz="0" w:space="0" w:color="auto"/>
      </w:divBdr>
    </w:div>
    <w:div w:id="1157265439">
      <w:bodyDiv w:val="1"/>
      <w:marLeft w:val="0"/>
      <w:marRight w:val="0"/>
      <w:marTop w:val="0"/>
      <w:marBottom w:val="0"/>
      <w:divBdr>
        <w:top w:val="none" w:sz="0" w:space="0" w:color="auto"/>
        <w:left w:val="none" w:sz="0" w:space="0" w:color="auto"/>
        <w:bottom w:val="none" w:sz="0" w:space="0" w:color="auto"/>
        <w:right w:val="none" w:sz="0" w:space="0" w:color="auto"/>
      </w:divBdr>
    </w:div>
    <w:div w:id="1168136707">
      <w:bodyDiv w:val="1"/>
      <w:marLeft w:val="0"/>
      <w:marRight w:val="0"/>
      <w:marTop w:val="0"/>
      <w:marBottom w:val="0"/>
      <w:divBdr>
        <w:top w:val="none" w:sz="0" w:space="0" w:color="auto"/>
        <w:left w:val="none" w:sz="0" w:space="0" w:color="auto"/>
        <w:bottom w:val="none" w:sz="0" w:space="0" w:color="auto"/>
        <w:right w:val="none" w:sz="0" w:space="0" w:color="auto"/>
      </w:divBdr>
    </w:div>
    <w:div w:id="1202474918">
      <w:bodyDiv w:val="1"/>
      <w:marLeft w:val="0"/>
      <w:marRight w:val="0"/>
      <w:marTop w:val="0"/>
      <w:marBottom w:val="0"/>
      <w:divBdr>
        <w:top w:val="none" w:sz="0" w:space="0" w:color="auto"/>
        <w:left w:val="none" w:sz="0" w:space="0" w:color="auto"/>
        <w:bottom w:val="none" w:sz="0" w:space="0" w:color="auto"/>
        <w:right w:val="none" w:sz="0" w:space="0" w:color="auto"/>
      </w:divBdr>
    </w:div>
    <w:div w:id="1222983485">
      <w:bodyDiv w:val="1"/>
      <w:marLeft w:val="0"/>
      <w:marRight w:val="0"/>
      <w:marTop w:val="0"/>
      <w:marBottom w:val="0"/>
      <w:divBdr>
        <w:top w:val="none" w:sz="0" w:space="0" w:color="auto"/>
        <w:left w:val="none" w:sz="0" w:space="0" w:color="auto"/>
        <w:bottom w:val="none" w:sz="0" w:space="0" w:color="auto"/>
        <w:right w:val="none" w:sz="0" w:space="0" w:color="auto"/>
      </w:divBdr>
    </w:div>
    <w:div w:id="1398547613">
      <w:bodyDiv w:val="1"/>
      <w:marLeft w:val="0"/>
      <w:marRight w:val="0"/>
      <w:marTop w:val="0"/>
      <w:marBottom w:val="0"/>
      <w:divBdr>
        <w:top w:val="none" w:sz="0" w:space="0" w:color="auto"/>
        <w:left w:val="none" w:sz="0" w:space="0" w:color="auto"/>
        <w:bottom w:val="none" w:sz="0" w:space="0" w:color="auto"/>
        <w:right w:val="none" w:sz="0" w:space="0" w:color="auto"/>
      </w:divBdr>
    </w:div>
    <w:div w:id="1802572884">
      <w:bodyDiv w:val="1"/>
      <w:marLeft w:val="0"/>
      <w:marRight w:val="0"/>
      <w:marTop w:val="0"/>
      <w:marBottom w:val="0"/>
      <w:divBdr>
        <w:top w:val="none" w:sz="0" w:space="0" w:color="auto"/>
        <w:left w:val="none" w:sz="0" w:space="0" w:color="auto"/>
        <w:bottom w:val="none" w:sz="0" w:space="0" w:color="auto"/>
        <w:right w:val="none" w:sz="0" w:space="0" w:color="auto"/>
      </w:divBdr>
    </w:div>
    <w:div w:id="1845002182">
      <w:bodyDiv w:val="1"/>
      <w:marLeft w:val="0"/>
      <w:marRight w:val="0"/>
      <w:marTop w:val="0"/>
      <w:marBottom w:val="0"/>
      <w:divBdr>
        <w:top w:val="none" w:sz="0" w:space="0" w:color="auto"/>
        <w:left w:val="none" w:sz="0" w:space="0" w:color="auto"/>
        <w:bottom w:val="none" w:sz="0" w:space="0" w:color="auto"/>
        <w:right w:val="none" w:sz="0" w:space="0" w:color="auto"/>
      </w:divBdr>
    </w:div>
    <w:div w:id="1861580957">
      <w:bodyDiv w:val="1"/>
      <w:marLeft w:val="0"/>
      <w:marRight w:val="0"/>
      <w:marTop w:val="0"/>
      <w:marBottom w:val="0"/>
      <w:divBdr>
        <w:top w:val="none" w:sz="0" w:space="0" w:color="auto"/>
        <w:left w:val="none" w:sz="0" w:space="0" w:color="auto"/>
        <w:bottom w:val="none" w:sz="0" w:space="0" w:color="auto"/>
        <w:right w:val="none" w:sz="0" w:space="0" w:color="auto"/>
      </w:divBdr>
      <w:divsChild>
        <w:div w:id="707026762">
          <w:marLeft w:val="0"/>
          <w:marRight w:val="0"/>
          <w:marTop w:val="0"/>
          <w:marBottom w:val="0"/>
          <w:divBdr>
            <w:top w:val="none" w:sz="0" w:space="0" w:color="auto"/>
            <w:left w:val="none" w:sz="0" w:space="0" w:color="auto"/>
            <w:bottom w:val="none" w:sz="0" w:space="0" w:color="auto"/>
            <w:right w:val="none" w:sz="0" w:space="0" w:color="auto"/>
          </w:divBdr>
        </w:div>
        <w:div w:id="1284577249">
          <w:marLeft w:val="0"/>
          <w:marRight w:val="0"/>
          <w:marTop w:val="0"/>
          <w:marBottom w:val="0"/>
          <w:divBdr>
            <w:top w:val="none" w:sz="0" w:space="0" w:color="auto"/>
            <w:left w:val="none" w:sz="0" w:space="0" w:color="auto"/>
            <w:bottom w:val="none" w:sz="0" w:space="0" w:color="auto"/>
            <w:right w:val="none" w:sz="0" w:space="0" w:color="auto"/>
          </w:divBdr>
        </w:div>
        <w:div w:id="285357523">
          <w:marLeft w:val="0"/>
          <w:marRight w:val="0"/>
          <w:marTop w:val="0"/>
          <w:marBottom w:val="0"/>
          <w:divBdr>
            <w:top w:val="none" w:sz="0" w:space="0" w:color="auto"/>
            <w:left w:val="none" w:sz="0" w:space="0" w:color="auto"/>
            <w:bottom w:val="none" w:sz="0" w:space="0" w:color="auto"/>
            <w:right w:val="none" w:sz="0" w:space="0" w:color="auto"/>
          </w:divBdr>
        </w:div>
        <w:div w:id="1823354932">
          <w:marLeft w:val="0"/>
          <w:marRight w:val="0"/>
          <w:marTop w:val="0"/>
          <w:marBottom w:val="0"/>
          <w:divBdr>
            <w:top w:val="none" w:sz="0" w:space="0" w:color="auto"/>
            <w:left w:val="none" w:sz="0" w:space="0" w:color="auto"/>
            <w:bottom w:val="none" w:sz="0" w:space="0" w:color="auto"/>
            <w:right w:val="none" w:sz="0" w:space="0" w:color="auto"/>
          </w:divBdr>
        </w:div>
        <w:div w:id="1386681490">
          <w:marLeft w:val="0"/>
          <w:marRight w:val="0"/>
          <w:marTop w:val="0"/>
          <w:marBottom w:val="0"/>
          <w:divBdr>
            <w:top w:val="none" w:sz="0" w:space="0" w:color="auto"/>
            <w:left w:val="none" w:sz="0" w:space="0" w:color="auto"/>
            <w:bottom w:val="none" w:sz="0" w:space="0" w:color="auto"/>
            <w:right w:val="none" w:sz="0" w:space="0" w:color="auto"/>
          </w:divBdr>
        </w:div>
        <w:div w:id="954868923">
          <w:marLeft w:val="0"/>
          <w:marRight w:val="0"/>
          <w:marTop w:val="0"/>
          <w:marBottom w:val="0"/>
          <w:divBdr>
            <w:top w:val="none" w:sz="0" w:space="0" w:color="auto"/>
            <w:left w:val="none" w:sz="0" w:space="0" w:color="auto"/>
            <w:bottom w:val="none" w:sz="0" w:space="0" w:color="auto"/>
            <w:right w:val="none" w:sz="0" w:space="0" w:color="auto"/>
          </w:divBdr>
        </w:div>
        <w:div w:id="436100154">
          <w:marLeft w:val="0"/>
          <w:marRight w:val="0"/>
          <w:marTop w:val="0"/>
          <w:marBottom w:val="0"/>
          <w:divBdr>
            <w:top w:val="none" w:sz="0" w:space="0" w:color="auto"/>
            <w:left w:val="none" w:sz="0" w:space="0" w:color="auto"/>
            <w:bottom w:val="none" w:sz="0" w:space="0" w:color="auto"/>
            <w:right w:val="none" w:sz="0" w:space="0" w:color="auto"/>
          </w:divBdr>
        </w:div>
        <w:div w:id="1092823179">
          <w:marLeft w:val="0"/>
          <w:marRight w:val="0"/>
          <w:marTop w:val="0"/>
          <w:marBottom w:val="0"/>
          <w:divBdr>
            <w:top w:val="none" w:sz="0" w:space="0" w:color="auto"/>
            <w:left w:val="none" w:sz="0" w:space="0" w:color="auto"/>
            <w:bottom w:val="none" w:sz="0" w:space="0" w:color="auto"/>
            <w:right w:val="none" w:sz="0" w:space="0" w:color="auto"/>
          </w:divBdr>
        </w:div>
      </w:divsChild>
    </w:div>
    <w:div w:id="1866095525">
      <w:bodyDiv w:val="1"/>
      <w:marLeft w:val="0"/>
      <w:marRight w:val="0"/>
      <w:marTop w:val="0"/>
      <w:marBottom w:val="0"/>
      <w:divBdr>
        <w:top w:val="none" w:sz="0" w:space="0" w:color="auto"/>
        <w:left w:val="none" w:sz="0" w:space="0" w:color="auto"/>
        <w:bottom w:val="none" w:sz="0" w:space="0" w:color="auto"/>
        <w:right w:val="none" w:sz="0" w:space="0" w:color="auto"/>
      </w:divBdr>
    </w:div>
    <w:div w:id="19900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827A0-14BA-4CCE-AAF7-800867FF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4564</Words>
  <Characters>25102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Lic. Vanessa Soto</cp:lastModifiedBy>
  <cp:revision>10</cp:revision>
  <cp:lastPrinted>2023-02-23T20:52:00Z</cp:lastPrinted>
  <dcterms:created xsi:type="dcterms:W3CDTF">2023-02-23T15:54:00Z</dcterms:created>
  <dcterms:modified xsi:type="dcterms:W3CDTF">2023-02-24T01:06:00Z</dcterms:modified>
</cp:coreProperties>
</file>